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textAlignment w:val="center"/>
        <w:rPr>
          <w:rFonts w:hint="default" w:ascii="微软雅黑" w:hAnsi="微软雅黑" w:eastAsia="微软雅黑" w:cs="微软雅黑"/>
          <w:color w:val="333333"/>
          <w:sz w:val="24"/>
          <w:szCs w:val="24"/>
          <w:lang w:val="en-US"/>
        </w:rPr>
      </w:pPr>
      <w:r>
        <w:rPr>
          <w:rFonts w:hint="eastAsia" w:ascii="仿宋" w:hAnsi="仿宋" w:eastAsia="仿宋_GB2312" w:cs="Times New Roman"/>
          <w:kern w:val="2"/>
          <w:sz w:val="32"/>
          <w:szCs w:val="28"/>
          <w:lang w:val="en-US" w:eastAsia="zh-CN" w:bidi="ar-SA"/>
        </w:rPr>
        <w:t>附件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textAlignment w:val="center"/>
        <w:rPr>
          <w:rFonts w:hint="eastAsia" w:ascii="仿宋" w:hAnsi="仿宋" w:eastAsia="仿宋_GB2312" w:cs="Times New Roman"/>
          <w:kern w:val="2"/>
          <w:sz w:val="32"/>
          <w:szCs w:val="28"/>
          <w:lang w:val="en-US" w:eastAsia="zh-CN" w:bidi="ar-SA"/>
        </w:rPr>
      </w:pPr>
      <w:r>
        <w:rPr>
          <w:rFonts w:hint="eastAsia" w:ascii="仿宋" w:hAnsi="仿宋" w:eastAsia="仿宋_GB2312" w:cs="Times New Roman"/>
          <w:kern w:val="2"/>
          <w:sz w:val="32"/>
          <w:szCs w:val="28"/>
          <w:lang w:val="en-US" w:eastAsia="zh-CN" w:bidi="ar-SA"/>
        </w:rPr>
        <w:t xml:space="preserve">湖南圣涂涂料科技有限公司等10家企业减排量核定表                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right"/>
        <w:textAlignment w:val="center"/>
        <w:rPr>
          <w:rFonts w:hint="default" w:ascii="仿宋" w:hAnsi="仿宋" w:eastAsia="仿宋_GB2312" w:cs="Times New Roman"/>
          <w:kern w:val="2"/>
          <w:sz w:val="32"/>
          <w:szCs w:val="28"/>
          <w:lang w:val="en-US" w:eastAsia="zh-CN" w:bidi="ar-SA"/>
        </w:rPr>
      </w:pPr>
      <w:r>
        <w:rPr>
          <w:rFonts w:hint="eastAsia" w:ascii="仿宋" w:hAnsi="仿宋" w:eastAsia="仿宋_GB2312" w:cs="Times New Roman"/>
          <w:kern w:val="2"/>
          <w:sz w:val="32"/>
          <w:szCs w:val="28"/>
          <w:lang w:val="en-US" w:eastAsia="zh-CN" w:bidi="ar-SA"/>
        </w:rPr>
        <w:t xml:space="preserve">   </w:t>
      </w:r>
      <w:r>
        <w:rPr>
          <w:rFonts w:hint="eastAsia" w:ascii="仿宋" w:hAnsi="仿宋" w:eastAsia="仿宋_GB2312" w:cs="Times New Roman"/>
          <w:kern w:val="2"/>
          <w:sz w:val="24"/>
          <w:szCs w:val="24"/>
          <w:lang w:val="en-US" w:eastAsia="zh-CN" w:bidi="ar-SA"/>
        </w:rPr>
        <w:t>单位：吨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2678"/>
        <w:gridCol w:w="994"/>
        <w:gridCol w:w="1500"/>
        <w:gridCol w:w="1292"/>
        <w:gridCol w:w="1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  <w:t>区县</w:t>
            </w: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  <w:t>排污许可注销时间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  <w:t>减排方式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4"/>
                <w:szCs w:val="24"/>
                <w:lang w:eastAsia="zh-CN"/>
              </w:rPr>
              <w:t>减排量核定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湖南圣涂涂料科技有限公司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2025年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结构减排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VOC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S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：29.28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湖南中联重科混凝土机械站类设备有限公司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2025年变更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VOC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S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：76.65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汉寿县广佳页岩建材厂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 27.95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汉寿县顺通新型建材有限公司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 13.34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汉寿县维安建材制造有限公司沙洋坪分公司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 20.76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汉寿县兆嘉建材厂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 18.87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汉寿县正隆新型建材有限公司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 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湖南中农生态肥业有限公司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汉寿县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2025年变更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工程减排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:28.88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NO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X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：5.09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颗粒物：5.72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湖南力鼎体育用品有限公司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津市市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2026年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结构减排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VOC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S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：26.42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71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湖南桃花源钢铁科技有限公司</w:t>
            </w:r>
          </w:p>
        </w:tc>
        <w:tc>
          <w:tcPr>
            <w:tcW w:w="583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桃源县</w:t>
            </w:r>
          </w:p>
        </w:tc>
        <w:tc>
          <w:tcPr>
            <w:tcW w:w="880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758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结构减排</w:t>
            </w:r>
          </w:p>
        </w:tc>
        <w:tc>
          <w:tcPr>
            <w:tcW w:w="887" w:type="pct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等线" w:eastAsia="仿宋_GB2312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VOC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vertAlign w:val="subscript"/>
                <w:lang w:val="en-US" w:eastAsia="zh-CN"/>
              </w:rPr>
              <w:t>S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：9.09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36BB1"/>
    <w:rsid w:val="7423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2026-07-31T09:06:00Z</dcterms:created>
  <dc:creator>昊不昊啊？</dc:creator>
  <cp:lastModifiedBy>昊不昊啊？</cp:lastModifiedBy>
  <dcterms:modified xsi:type="dcterms:W3CDTF">2026-07-31T09:07:11Z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33CB7F781689438C91293AE1D494B7F5</vt:lpwstr>
  </property>
</Properties>
</file>