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BEB8" w14:textId="77777777" w:rsidR="00F572CF" w:rsidRDefault="0000000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附件</w:t>
      </w:r>
    </w:p>
    <w:p w14:paraId="657B444D" w14:textId="77777777" w:rsidR="00F572CF" w:rsidRDefault="00000000">
      <w:pPr>
        <w:spacing w:line="560" w:lineRule="exact"/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环评编制单位和编制人员检查发现问题及</w:t>
      </w:r>
      <w:r>
        <w:rPr>
          <w:rFonts w:ascii="仿宋_GB2312" w:eastAsia="仿宋_GB2312" w:hAnsi="仿宋"/>
          <w:sz w:val="32"/>
          <w:szCs w:val="32"/>
        </w:rPr>
        <w:t>拟</w:t>
      </w:r>
      <w:r>
        <w:rPr>
          <w:rFonts w:ascii="仿宋_GB2312" w:eastAsia="仿宋_GB2312" w:hAnsi="仿宋" w:hint="eastAsia"/>
          <w:sz w:val="32"/>
          <w:szCs w:val="32"/>
        </w:rPr>
        <w:t>处理意见表</w:t>
      </w:r>
    </w:p>
    <w:p w14:paraId="44F8254C" w14:textId="77777777" w:rsidR="00F572CF" w:rsidRDefault="00F572CF">
      <w:pPr>
        <w:spacing w:line="560" w:lineRule="exact"/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</w:p>
    <w:tbl>
      <w:tblPr>
        <w:tblW w:w="12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84"/>
        <w:gridCol w:w="1635"/>
        <w:gridCol w:w="2017"/>
        <w:gridCol w:w="2790"/>
        <w:gridCol w:w="2409"/>
      </w:tblGrid>
      <w:tr w:rsidR="00F572CF" w14:paraId="1749BF00" w14:textId="77777777">
        <w:trPr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EBBC0F4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vAlign w:val="center"/>
          </w:tcPr>
          <w:p w14:paraId="03E64382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33B8973D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人员姓名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4B8EBDCD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检查发现问题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3E14359E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处理依据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14:paraId="2859C791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拟处理意见</w:t>
            </w:r>
          </w:p>
        </w:tc>
      </w:tr>
      <w:tr w:rsidR="00F572CF" w14:paraId="2F265320" w14:textId="77777777">
        <w:trPr>
          <w:trHeight w:val="404"/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33114C2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vAlign w:val="center"/>
          </w:tcPr>
          <w:p w14:paraId="0CF5FAF8" w14:textId="77777777" w:rsidR="00F572CF" w:rsidRDefault="00000000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湖南耀嘉昇环保科技有限公司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53A9C12E" w14:textId="77777777" w:rsidR="00F572CF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徐训东</w:t>
            </w:r>
            <w:proofErr w:type="gramEnd"/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3264DE50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存在“挂靠”行为，存在由非全职人员编制环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评文件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和提交的从业单位名称信息不真实的失信行为。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62B18119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《建设项目环境影响报告书（表）编制监督管理办法》第十一条 ，《建设项目环境影响报告书（表）编制单位</w:t>
            </w:r>
            <w:r>
              <w:rPr>
                <w:rFonts w:ascii="宋体" w:hAnsi="宋体" w:cs="宋体"/>
                <w:sz w:val="24"/>
                <w:szCs w:val="24"/>
                <w:shd w:val="clear" w:color="auto" w:fill="FFFFFF"/>
              </w:rPr>
              <w:t>和</w:t>
            </w: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编制人员失信行为记分办法（试行）》第八条第一项，第十三条第一款第一项、第二款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14:paraId="4EB27459" w14:textId="77777777" w:rsidR="00F572CF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对环评单位失信记分8分，对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徐训东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（信用编号BH017531）失信记分8分。</w:t>
            </w:r>
          </w:p>
        </w:tc>
      </w:tr>
      <w:tr w:rsidR="00F572CF" w14:paraId="7660DF3D" w14:textId="77777777">
        <w:trPr>
          <w:trHeight w:val="404"/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C4FAF77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vAlign w:val="center"/>
          </w:tcPr>
          <w:p w14:paraId="480B54F4" w14:textId="77777777" w:rsidR="00F572CF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湖南省中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科尚环境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科技有限公司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75C6DDB1" w14:textId="77777777" w:rsidR="00F572CF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张武敬</w:t>
            </w:r>
            <w:proofErr w:type="gramEnd"/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6933D352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存在“挂靠”行为，存在由非全职人员编制环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评文件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和提交的从业单位名称信息不真实的失信行为。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043EF318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《建设项目环境影响报告书（表）编制监督管理办法》第十一条 ，《建设项目环境影响报告书（表）编制单位</w:t>
            </w:r>
            <w:r>
              <w:rPr>
                <w:rFonts w:ascii="宋体" w:hAnsi="宋体" w:cs="宋体"/>
                <w:sz w:val="24"/>
                <w:szCs w:val="24"/>
                <w:shd w:val="clear" w:color="auto" w:fill="FFFFFF"/>
              </w:rPr>
              <w:t>和</w:t>
            </w: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编制人员失信行为记分办法（试行）》第八条</w:t>
            </w: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lastRenderedPageBreak/>
              <w:t>第一项，第十三条第一款第一项、第二款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14:paraId="7E008E52" w14:textId="77777777" w:rsidR="00F572CF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对环评单位失信记分8分，对张武敬（信用编号BH032910）失信记分8分。</w:t>
            </w:r>
          </w:p>
        </w:tc>
      </w:tr>
      <w:tr w:rsidR="00F572CF" w14:paraId="7D810896" w14:textId="77777777">
        <w:trPr>
          <w:trHeight w:val="404"/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D61264F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vAlign w:val="center"/>
          </w:tcPr>
          <w:p w14:paraId="1307AE58" w14:textId="77777777" w:rsidR="00F572CF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湖南博联华信环保科技有限公司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28B8335F" w14:textId="77777777" w:rsidR="00F572CF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麻园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3D978F57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存在“挂靠”行为，存在由非全职人员编制环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评文件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和提交的从业单位名称信息不真实的失信行为。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7A62CF8C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《建设项目环境影响报告书（表）编制监督管理办法》第十一条 ，《建设项目环境影响报告书（表）编制单位</w:t>
            </w:r>
            <w:r>
              <w:rPr>
                <w:rFonts w:ascii="宋体" w:hAnsi="宋体" w:cs="宋体"/>
                <w:sz w:val="24"/>
                <w:szCs w:val="24"/>
                <w:shd w:val="clear" w:color="auto" w:fill="FFFFFF"/>
              </w:rPr>
              <w:t>和</w:t>
            </w: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编制人员失信行为记分办法（试行）》第八条第一项，第十三条第一款第一项、第二款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14:paraId="3BC130FC" w14:textId="77777777" w:rsidR="00F572CF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对环评单位失信记分8分，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对麻园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（信用编号BH030737）失信记分8分。</w:t>
            </w:r>
          </w:p>
        </w:tc>
      </w:tr>
      <w:tr w:rsidR="00F572CF" w14:paraId="16AB3B77" w14:textId="77777777">
        <w:trPr>
          <w:trHeight w:val="1006"/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A3368EA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vAlign w:val="center"/>
          </w:tcPr>
          <w:p w14:paraId="014CADC2" w14:textId="77777777" w:rsidR="00F572CF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湖南省佳兴工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程咨询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有限公司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75B2894C" w14:textId="77777777" w:rsidR="00F572CF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杜增伟</w:t>
            </w:r>
            <w:proofErr w:type="gramEnd"/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5D4A0DB0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存在“挂靠”行为，存在由非全职人员编制环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评文件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和提交的从业单位名称信息不真实的失信行为。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7CFBFFA9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《建设项目环境影响报告书（表）编制监督管理办法》第十一条 ，《建设项目环境影响报告书（表）编制单位</w:t>
            </w:r>
            <w:r>
              <w:rPr>
                <w:rFonts w:ascii="宋体" w:hAnsi="宋体" w:cs="宋体"/>
                <w:sz w:val="24"/>
                <w:szCs w:val="24"/>
                <w:shd w:val="clear" w:color="auto" w:fill="FFFFFF"/>
              </w:rPr>
              <w:t>和</w:t>
            </w: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编制人员失信行为记分办法（试行）》第八条第一项，第十三条第一款第一项、第二款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14:paraId="6A8BF7B8" w14:textId="77777777" w:rsidR="00F572CF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对环评单位失信记分8分，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对杜增伟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（信用编号BH033152）失信记分8分。</w:t>
            </w:r>
          </w:p>
        </w:tc>
      </w:tr>
      <w:tr w:rsidR="00F572CF" w14:paraId="4DE3C376" w14:textId="77777777">
        <w:trPr>
          <w:trHeight w:val="697"/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215141B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vAlign w:val="center"/>
          </w:tcPr>
          <w:p w14:paraId="3DB11B69" w14:textId="77777777" w:rsidR="00F572CF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湖南永欣环保科技有限公司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4E756F8C" w14:textId="77777777" w:rsidR="00F572CF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卢亮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0A4536FD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存在“挂靠”行</w:t>
            </w: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lastRenderedPageBreak/>
              <w:t>为，存在由非全职人员编制环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评文件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和提交的从业单位名称信息不真实的失信行为。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1C5B3552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lastRenderedPageBreak/>
              <w:t>《建设项目环境影响报</w:t>
            </w: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lastRenderedPageBreak/>
              <w:t>告书（表）编制监督管理办法》第十一条 ，《建设项目环境影响报告书（表）编制单位</w:t>
            </w:r>
            <w:r>
              <w:rPr>
                <w:rFonts w:ascii="宋体" w:hAnsi="宋体" w:cs="宋体"/>
                <w:sz w:val="24"/>
                <w:szCs w:val="24"/>
                <w:shd w:val="clear" w:color="auto" w:fill="FFFFFF"/>
              </w:rPr>
              <w:t>和</w:t>
            </w: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编制人员失信行为记分办法（试行）》第八条第一项，第十三条第一款第一项、第二款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14:paraId="7219411C" w14:textId="77777777" w:rsidR="00F572CF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对环评单位失信记分8分，对卢亮（信用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编号BH026276）失信记分8分。</w:t>
            </w:r>
          </w:p>
        </w:tc>
      </w:tr>
      <w:tr w:rsidR="00F572CF" w14:paraId="7BE26981" w14:textId="77777777">
        <w:trPr>
          <w:trHeight w:val="697"/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5CE5C1C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vAlign w:val="center"/>
          </w:tcPr>
          <w:p w14:paraId="48B07AA2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湖南德瀚环保科技有限公司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355D783C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陈双双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5DDA7867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环评工程师未在信用平台提交参保缴费记录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2149E2C2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napToGrid w:val="0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《建设项目环境影响报告书（表）编制单位</w:t>
            </w:r>
            <w:r>
              <w:rPr>
                <w:rFonts w:ascii="宋体" w:hAnsi="宋体" w:cs="宋体"/>
                <w:sz w:val="24"/>
                <w:szCs w:val="24"/>
                <w:shd w:val="clear" w:color="auto" w:fill="FFFFFF"/>
              </w:rPr>
              <w:t>和</w:t>
            </w: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编制人员失信行为记分办法（试行）》第十</w:t>
            </w:r>
            <w:r>
              <w:rPr>
                <w:rFonts w:ascii="宋体" w:hAnsi="宋体" w:cs="宋体"/>
                <w:sz w:val="24"/>
                <w:szCs w:val="24"/>
                <w:shd w:val="clear" w:color="auto" w:fill="FFFFFF"/>
              </w:rPr>
              <w:t>六</w:t>
            </w: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条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14:paraId="2A8CF010" w14:textId="77777777" w:rsidR="00F572CF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对陈双双（信用编号BH010212）失信记分2分</w:t>
            </w:r>
          </w:p>
        </w:tc>
      </w:tr>
    </w:tbl>
    <w:p w14:paraId="37F675F2" w14:textId="77777777" w:rsidR="00F572CF" w:rsidRDefault="00F572CF">
      <w:pPr>
        <w:rPr>
          <w:rFonts w:ascii="宋体" w:hAnsi="宋体" w:cs="宋体" w:hint="eastAsia"/>
          <w:sz w:val="28"/>
          <w:szCs w:val="28"/>
        </w:rPr>
      </w:pPr>
    </w:p>
    <w:sectPr w:rsidR="00F572CF">
      <w:footerReference w:type="even" r:id="rId7"/>
      <w:footerReference w:type="default" r:id="rId8"/>
      <w:pgSz w:w="16838" w:h="11906" w:orient="landscape"/>
      <w:pgMar w:top="1587" w:right="2098" w:bottom="1474" w:left="170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AAA6" w14:textId="77777777" w:rsidR="001F397E" w:rsidRDefault="001F397E">
      <w:r>
        <w:separator/>
      </w:r>
    </w:p>
  </w:endnote>
  <w:endnote w:type="continuationSeparator" w:id="0">
    <w:p w14:paraId="655CBD07" w14:textId="77777777" w:rsidR="001F397E" w:rsidRDefault="001F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DejaVu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1F48" w14:textId="77777777" w:rsidR="00F572CF" w:rsidRDefault="0000000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 xml:space="preserve"> </w:t>
    </w:r>
    <w:r>
      <w:rPr>
        <w:rStyle w:val="a4"/>
      </w:rPr>
      <w:fldChar w:fldCharType="end"/>
    </w:r>
  </w:p>
  <w:p w14:paraId="294CFC20" w14:textId="77777777" w:rsidR="00F572CF" w:rsidRDefault="00F572C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B320" w14:textId="77777777" w:rsidR="00F572CF" w:rsidRDefault="0000000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- 2 -</w:t>
    </w:r>
    <w:r>
      <w:rPr>
        <w:rStyle w:val="a4"/>
      </w:rPr>
      <w:fldChar w:fldCharType="end"/>
    </w:r>
  </w:p>
  <w:p w14:paraId="21A8B9A7" w14:textId="77777777" w:rsidR="00F572CF" w:rsidRDefault="00F572C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2FED" w14:textId="77777777" w:rsidR="001F397E" w:rsidRDefault="001F397E">
      <w:r>
        <w:separator/>
      </w:r>
    </w:p>
  </w:footnote>
  <w:footnote w:type="continuationSeparator" w:id="0">
    <w:p w14:paraId="31E9280C" w14:textId="77777777" w:rsidR="001F397E" w:rsidRDefault="001F3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CF"/>
    <w:rsid w:val="001F397E"/>
    <w:rsid w:val="00424DA8"/>
    <w:rsid w:val="00760F83"/>
    <w:rsid w:val="00F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3AB34"/>
  <w15:docId w15:val="{079E21FB-DCDE-49F8-98CA-E7CC6FBE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Calibri" w:eastAsia="宋体" w:hAnsi="Calibri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Calibri" w:eastAsia="宋体" w:hAnsi="Calibri" w:cs="Times New Roman"/>
      <w:b/>
      <w:kern w:val="2"/>
      <w:sz w:val="21"/>
      <w:szCs w:val="22"/>
      <w:lang w:val="en-US" w:eastAsia="zh-CN" w:bidi="ar-SA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Body Text"/>
    <w:basedOn w:val="a"/>
    <w:next w:val="a"/>
    <w:qFormat/>
    <w:rPr>
      <w:rFonts w:ascii="仿宋" w:hAnsi="仿宋" w:cs="仿宋"/>
      <w:sz w:val="31"/>
      <w:szCs w:val="31"/>
    </w:rPr>
  </w:style>
  <w:style w:type="paragraph" w:styleId="a6">
    <w:name w:val="Plain Text"/>
    <w:basedOn w:val="a"/>
    <w:qFormat/>
    <w:rPr>
      <w:rFonts w:ascii="Courier New" w:hAnsi="Courier New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a8">
    <w:name w:val="（正文）"/>
    <w:basedOn w:val="a6"/>
    <w:qFormat/>
    <w:pPr>
      <w:tabs>
        <w:tab w:val="left" w:pos="7380"/>
      </w:tabs>
      <w:spacing w:line="360" w:lineRule="auto"/>
      <w:ind w:firstLine="480"/>
    </w:pPr>
    <w:rPr>
      <w:rFonts w:ascii="仿宋" w:eastAsia="仿宋" w:hAnsi="仿宋" w:cs="仿宋"/>
      <w:sz w:val="24"/>
    </w:rPr>
  </w:style>
  <w:style w:type="character" w:styleId="a9">
    <w:name w:val="Hyperlink"/>
    <w:qFormat/>
    <w:rPr>
      <w:color w:val="0000FF"/>
      <w:u w:val="single"/>
    </w:rPr>
  </w:style>
  <w:style w:type="character" w:styleId="aa">
    <w:name w:val="FollowedHyperlink"/>
    <w:basedOn w:val="a0"/>
    <w:qFormat/>
    <w:rPr>
      <w:color w:val="800080"/>
      <w:u w:val="single"/>
    </w:rPr>
  </w:style>
  <w:style w:type="character" w:styleId="ab">
    <w:name w:val="Strong"/>
    <w:basedOn w:val="a0"/>
    <w:qFormat/>
    <w:rPr>
      <w:b/>
      <w:bCs/>
    </w:rPr>
  </w:style>
  <w:style w:type="paragraph" w:customStyle="1" w:styleId="TableText">
    <w:name w:val="Table Text"/>
    <w:basedOn w:val="a"/>
    <w:qFormat/>
    <w:rPr>
      <w:rFonts w:ascii="宋体" w:hAnsi="宋体" w:cs="宋体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  <sectPr/>
  </customProps>
</customData>
</file>

<file path=customXml/itemProps1.xml><?xml version="1.0" encoding="utf-8"?>
<ds:datastoreItem xmlns:ds="http://schemas.openxmlformats.org/officeDocument/2006/customXml" ds:itemID="{FECE4ACE-1968-420D-8AC6-9CF420249EE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580</Characters>
  <Application>Microsoft Office Word</Application>
  <DocSecurity>0</DocSecurity>
  <Lines>72</Lines>
  <Paragraphs>38</Paragraphs>
  <ScaleCrop>false</ScaleCrop>
  <Company>Yozosoft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Guardian Tales</cp:lastModifiedBy>
  <cp:revision>2</cp:revision>
  <dcterms:created xsi:type="dcterms:W3CDTF">2026-06-05T07:07:00Z</dcterms:created>
  <dcterms:modified xsi:type="dcterms:W3CDTF">2026-06-05T07:07:00Z</dcterms:modified>
</cp:coreProperties>
</file>