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textAlignment w:val="center"/>
        <w:rPr>
          <w:rFonts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常德市生态环境涉企行政检查事项清单（</w:t>
      </w:r>
      <w:r>
        <w:rPr>
          <w:rFonts w:ascii="方正小标宋简体" w:hAnsi="方正小标宋简体" w:eastAsia="方正小标宋简体" w:cs="宋体"/>
          <w:kern w:val="0"/>
          <w:sz w:val="44"/>
          <w:szCs w:val="44"/>
        </w:rPr>
        <w:t>2025</w:t>
      </w:r>
      <w:r>
        <w:rPr>
          <w:rFonts w:hint="eastAsia" w:ascii="方正小标宋简体" w:hAnsi="方正小标宋简体" w:eastAsia="方正小标宋简体" w:cs="宋体"/>
          <w:kern w:val="0"/>
          <w:sz w:val="44"/>
          <w:szCs w:val="44"/>
        </w:rPr>
        <w:t>版）</w:t>
      </w:r>
    </w:p>
    <w:p>
      <w:pPr>
        <w:spacing w:line="800" w:lineRule="exact"/>
        <w:textAlignment w:val="center"/>
        <w:rPr>
          <w:rFonts w:ascii="楷体_GB2312" w:hAnsi="方正楷体_GBK" w:eastAsia="楷体_GB2312" w:cs="方正楷体_GBK"/>
          <w:kern w:val="0"/>
          <w:sz w:val="28"/>
          <w:szCs w:val="28"/>
        </w:rPr>
      </w:pPr>
      <w:r>
        <w:rPr>
          <w:rFonts w:hint="eastAsia" w:ascii="楷体_GB2312" w:hAnsi="方正小标宋简体" w:eastAsia="楷体_GB2312" w:cs="宋体"/>
          <w:kern w:val="0"/>
          <w:sz w:val="28"/>
          <w:szCs w:val="28"/>
        </w:rPr>
        <w:t>制定单位：常德市生态环境局</w:t>
      </w:r>
    </w:p>
    <w:tbl>
      <w:tblPr>
        <w:tblStyle w:val="8"/>
        <w:tblW w:w="1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23"/>
        <w:gridCol w:w="4009"/>
        <w:gridCol w:w="1573"/>
        <w:gridCol w:w="1599"/>
        <w:gridCol w:w="1246"/>
        <w:gridCol w:w="1370"/>
        <w:gridCol w:w="1203"/>
        <w:gridCol w:w="1491"/>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88"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序号</w:t>
            </w:r>
          </w:p>
        </w:tc>
        <w:tc>
          <w:tcPr>
            <w:tcW w:w="1723"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检查事项</w:t>
            </w:r>
          </w:p>
        </w:tc>
        <w:tc>
          <w:tcPr>
            <w:tcW w:w="4009"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执法依据</w:t>
            </w:r>
          </w:p>
        </w:tc>
        <w:tc>
          <w:tcPr>
            <w:tcW w:w="1573"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检查主体（实施层级）</w:t>
            </w:r>
          </w:p>
        </w:tc>
        <w:tc>
          <w:tcPr>
            <w:tcW w:w="1599"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承办机构</w:t>
            </w:r>
          </w:p>
        </w:tc>
        <w:tc>
          <w:tcPr>
            <w:tcW w:w="1246"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检查对象</w:t>
            </w:r>
          </w:p>
        </w:tc>
        <w:tc>
          <w:tcPr>
            <w:tcW w:w="1370" w:type="dxa"/>
            <w:vAlign w:val="center"/>
          </w:tcPr>
          <w:p>
            <w:pPr>
              <w:widowControl w:val="0"/>
              <w:adjustRightInd w:val="0"/>
              <w:snapToGrid w:val="0"/>
              <w:spacing w:line="300" w:lineRule="exact"/>
              <w:jc w:val="center"/>
              <w:textAlignment w:val="center"/>
              <w:rPr>
                <w:rFonts w:ascii="仿宋" w:hAnsi="仿宋" w:eastAsia="仿宋" w:cs="仿宋"/>
                <w:b/>
                <w:kern w:val="0"/>
                <w:szCs w:val="21"/>
              </w:rPr>
            </w:pPr>
            <w:r>
              <w:rPr>
                <w:rFonts w:hint="eastAsia" w:ascii="仿宋" w:hAnsi="仿宋" w:eastAsia="仿宋" w:cs="仿宋"/>
                <w:b/>
                <w:kern w:val="0"/>
                <w:szCs w:val="21"/>
              </w:rPr>
              <w:t>检查内容</w:t>
            </w:r>
          </w:p>
        </w:tc>
        <w:tc>
          <w:tcPr>
            <w:tcW w:w="1203" w:type="dxa"/>
            <w:vAlign w:val="center"/>
          </w:tcPr>
          <w:p>
            <w:pPr>
              <w:widowControl w:val="0"/>
              <w:adjustRightInd w:val="0"/>
              <w:snapToGrid w:val="0"/>
              <w:spacing w:line="300" w:lineRule="exact"/>
              <w:jc w:val="center"/>
              <w:textAlignment w:val="center"/>
              <w:rPr>
                <w:rFonts w:ascii="仿宋" w:hAnsi="仿宋" w:eastAsia="仿宋" w:cs="仿宋"/>
                <w:b/>
                <w:kern w:val="0"/>
                <w:szCs w:val="21"/>
              </w:rPr>
            </w:pPr>
            <w:r>
              <w:rPr>
                <w:rFonts w:hint="eastAsia" w:ascii="仿宋" w:hAnsi="仿宋" w:eastAsia="仿宋" w:cs="仿宋"/>
                <w:b/>
                <w:kern w:val="0"/>
                <w:szCs w:val="21"/>
              </w:rPr>
              <w:t>检查方式</w:t>
            </w:r>
          </w:p>
        </w:tc>
        <w:tc>
          <w:tcPr>
            <w:tcW w:w="1491" w:type="dxa"/>
            <w:vAlign w:val="center"/>
          </w:tcPr>
          <w:p>
            <w:pPr>
              <w:widowControl w:val="0"/>
              <w:adjustRightInd w:val="0"/>
              <w:snapToGrid w:val="0"/>
              <w:spacing w:line="300" w:lineRule="exact"/>
              <w:jc w:val="center"/>
              <w:textAlignment w:val="center"/>
              <w:rPr>
                <w:rFonts w:ascii="仿宋" w:hAnsi="仿宋" w:eastAsia="仿宋" w:cs="仿宋"/>
                <w:b/>
                <w:kern w:val="0"/>
                <w:szCs w:val="21"/>
              </w:rPr>
            </w:pPr>
            <w:r>
              <w:rPr>
                <w:rFonts w:hint="eastAsia" w:ascii="仿宋" w:hAnsi="仿宋" w:eastAsia="仿宋" w:cs="仿宋"/>
                <w:b/>
                <w:kern w:val="0"/>
                <w:szCs w:val="21"/>
              </w:rPr>
              <w:t>检查频次</w:t>
            </w:r>
          </w:p>
        </w:tc>
        <w:tc>
          <w:tcPr>
            <w:tcW w:w="996"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1</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对企业环境信息依法披露情况的行政检查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《企业环境信息依法披露管理办法》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2.</w:t>
            </w:r>
            <w:r>
              <w:rPr>
                <w:rFonts w:hint="eastAsia" w:ascii="仿宋" w:hAnsi="仿宋" w:eastAsia="仿宋" w:cs="仿宋"/>
                <w:b/>
                <w:bCs/>
                <w:szCs w:val="21"/>
              </w:rPr>
              <w:t>《常德市生活垃圾管理条例》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第二十七条</w:t>
            </w:r>
            <w:r>
              <w:rPr>
                <w:rFonts w:ascii="仿宋" w:hAnsi="仿宋" w:eastAsia="仿宋" w:cs="仿宋"/>
                <w:szCs w:val="21"/>
              </w:rPr>
              <w:t xml:space="preserve"> </w:t>
            </w:r>
            <w:r>
              <w:rPr>
                <w:rFonts w:hint="eastAsia" w:ascii="仿宋" w:hAnsi="仿宋" w:eastAsia="仿宋" w:cs="仿宋"/>
                <w:szCs w:val="21"/>
              </w:rPr>
              <w:t>生态环境部门应当将生活垃圾焚烧发电厂、填埋场、餐厨垃圾处理场等处理场所纳入重点排污单位名录；生活垃圾焚烧发电厂、填埋场、餐厨垃圾处理场应当依法披露环境监测等信息。</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综合科、支队及各分局承担相应职责的机构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纳入环境信息依法披露名单的相关企业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企业环境信息依法披露情况监督检查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szCs w:val="21"/>
              </w:rPr>
              <w:t>2</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对各类自然保护区管理的行政检查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b/>
                <w:bCs/>
                <w:szCs w:val="21"/>
              </w:rPr>
              <w:t>《中华人民共和国自然保护区条例》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第二十条</w:t>
            </w:r>
            <w:r>
              <w:rPr>
                <w:rFonts w:ascii="仿宋" w:hAnsi="仿宋" w:eastAsia="仿宋" w:cs="仿宋"/>
                <w:szCs w:val="21"/>
              </w:rPr>
              <w:t xml:space="preserve"> </w:t>
            </w:r>
            <w:r>
              <w:rPr>
                <w:rFonts w:hint="eastAsia" w:ascii="仿宋" w:hAnsi="仿宋" w:eastAsia="仿宋" w:cs="仿宋"/>
                <w:szCs w:val="21"/>
              </w:rPr>
              <w:t>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自然科、支队及各分局承担相应职责的机构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pacing w:val="-10"/>
                <w:szCs w:val="21"/>
              </w:rPr>
            </w:pPr>
            <w:r>
              <w:rPr>
                <w:rFonts w:hint="eastAsia" w:ascii="仿宋" w:hAnsi="仿宋" w:eastAsia="仿宋" w:cs="仿宋"/>
                <w:spacing w:val="-10"/>
                <w:szCs w:val="21"/>
              </w:rPr>
              <w:t>各类自然保护区内涉嫌违法建设的企业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对在自然保护地内进行非法开矿、修路、筑坝、建设造成生态破坏的监督检查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overflowPunct w:val="0"/>
              <w:topLinePunct/>
              <w:adjustRightInd w:val="0"/>
              <w:snapToGrid w:val="0"/>
              <w:spacing w:line="300" w:lineRule="exact"/>
              <w:jc w:val="center"/>
              <w:rPr>
                <w:rFonts w:ascii="仿宋" w:hAnsi="仿宋" w:eastAsia="仿宋" w:cs="仿宋"/>
                <w:szCs w:val="21"/>
              </w:rPr>
            </w:pPr>
          </w:p>
          <w:p>
            <w:pPr>
              <w:widowControl w:val="0"/>
              <w:tabs>
                <w:tab w:val="center" w:pos="4153"/>
                <w:tab w:val="right" w:pos="8306"/>
              </w:tabs>
              <w:adjustRightInd w:val="0"/>
              <w:snapToGrid w:val="0"/>
              <w:spacing w:line="300" w:lineRule="exact"/>
              <w:rPr>
                <w:rFonts w:ascii="仿宋" w:hAnsi="仿宋" w:eastAsia="仿宋" w:cs="仿宋"/>
                <w:szCs w:val="21"/>
              </w:rPr>
            </w:pPr>
          </w:p>
          <w:p>
            <w:pPr>
              <w:widowControl w:val="0"/>
              <w:overflowPunct w:val="0"/>
              <w:topLinePunct/>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对各级各类风景名胜区、湿地公园、森林公园等自然保护地管理的行政检查</w:t>
            </w:r>
          </w:p>
        </w:tc>
        <w:tc>
          <w:tcPr>
            <w:tcW w:w="4009" w:type="dxa"/>
            <w:vAlign w:val="center"/>
          </w:tcPr>
          <w:p>
            <w:pPr>
              <w:widowControl w:val="0"/>
              <w:overflowPunct w:val="0"/>
              <w:topLinePunct/>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《风景名胜区条例》</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第五条</w:t>
            </w:r>
            <w:r>
              <w:rPr>
                <w:rFonts w:ascii="仿宋" w:hAnsi="仿宋" w:eastAsia="仿宋" w:cs="仿宋"/>
                <w:szCs w:val="21"/>
              </w:rPr>
              <w:t xml:space="preserve"> </w:t>
            </w:r>
            <w:r>
              <w:rPr>
                <w:rFonts w:hint="eastAsia" w:ascii="仿宋" w:hAnsi="仿宋" w:eastAsia="仿宋" w:cs="仿宋"/>
                <w:szCs w:val="21"/>
              </w:rPr>
              <w:t>国务院建设主管部门负责全国风景名胜区的监督管理工作。国务院其他有关部门按照国务院规定的职责分工，负责风景名胜区的有关监督管理工作。</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第三十六条第一款</w:t>
            </w:r>
            <w:r>
              <w:rPr>
                <w:rFonts w:ascii="仿宋" w:hAnsi="仿宋" w:eastAsia="仿宋" w:cs="仿宋"/>
                <w:szCs w:val="21"/>
              </w:rPr>
              <w:t xml:space="preserve"> </w:t>
            </w:r>
            <w:r>
              <w:rPr>
                <w:rFonts w:hint="eastAsia" w:ascii="仿宋" w:hAnsi="仿宋" w:eastAsia="仿宋" w:cs="仿宋"/>
                <w:szCs w:val="21"/>
              </w:rPr>
              <w:t>风景名胜区管理机构应当建立健全安全保障制度，加强安全管理，保障游览安全，并督促风景名胜区内的经营单位接受有关部门依据法律、法规进行的监督检查。</w:t>
            </w:r>
            <w:r>
              <w:rPr>
                <w:rFonts w:ascii="仿宋" w:hAnsi="仿宋" w:eastAsia="仿宋" w:cs="仿宋"/>
                <w:szCs w:val="21"/>
              </w:rPr>
              <w:t xml:space="preserve"> </w:t>
            </w:r>
          </w:p>
          <w:p>
            <w:pPr>
              <w:widowControl w:val="0"/>
              <w:overflowPunct w:val="0"/>
              <w:topLinePunct/>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《中华人民共和国湿地保护法》</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第五条</w:t>
            </w:r>
            <w:r>
              <w:rPr>
                <w:rFonts w:ascii="仿宋" w:hAnsi="仿宋" w:eastAsia="仿宋" w:cs="仿宋"/>
                <w:szCs w:val="21"/>
              </w:rPr>
              <w:t xml:space="preserve">  </w:t>
            </w:r>
            <w:r>
              <w:rPr>
                <w:rFonts w:hint="eastAsia" w:ascii="仿宋" w:hAnsi="仿宋" w:eastAsia="仿宋" w:cs="仿宋"/>
                <w:szCs w:val="21"/>
              </w:rPr>
              <w:t>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国务院林业草原主管部门会同国务院自然资源、水行政、住房城乡建设、生态环境、农业农村等主管部门建立湿地保护协作和信息通报机制。</w:t>
            </w:r>
          </w:p>
          <w:p>
            <w:pPr>
              <w:widowControl w:val="0"/>
              <w:overflowPunct w:val="0"/>
              <w:topLinePunct/>
              <w:adjustRightInd w:val="0"/>
              <w:snapToGrid w:val="0"/>
              <w:spacing w:line="30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《湖南省森林公园条例》</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第五条　省人民政府林业主管部门应当会同有关部门开展森林风景资源普查，编制和实施全省森林公园发展规划，采取措施推动森林公园事业发展。</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县级以上人民政府林业主管部门负责本行政区域内森林公园的监督管理。</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县级以上人民政府财政、自然资源、生态环境、住房和城乡建设、交通运输、水利、文化和旅游、民族宗教等有关部门按照各自职责，做好森林公园的有关监督管理工作。</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自然科、支队及各分局承担相应职责的机构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各级各类自然保护地（除自然保护区）内涉嫌违法建设的企业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对在自然保护地内进行非法开矿、修路、筑坝、建设造成生态破坏的监督检查</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4</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对排放水污染物的企业事业单位和其他生产经营者的行政检查</w:t>
            </w:r>
          </w:p>
        </w:tc>
        <w:tc>
          <w:tcPr>
            <w:tcW w:w="4009" w:type="dxa"/>
            <w:vAlign w:val="center"/>
          </w:tcPr>
          <w:p>
            <w:pPr>
              <w:widowControl w:val="0"/>
              <w:tabs>
                <w:tab w:val="center" w:pos="4153"/>
                <w:tab w:val="right" w:pos="8306"/>
              </w:tabs>
              <w:adjustRightInd w:val="0"/>
              <w:snapToGrid w:val="0"/>
              <w:spacing w:line="26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260" w:lineRule="exact"/>
              <w:ind w:firstLine="420" w:firstLineChars="200"/>
              <w:rPr>
                <w:rFonts w:ascii="仿宋" w:hAnsi="仿宋" w:eastAsia="仿宋" w:cs="仿宋"/>
                <w:b/>
                <w:bCs/>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val="0"/>
              <w:tabs>
                <w:tab w:val="center" w:pos="4153"/>
                <w:tab w:val="right" w:pos="8306"/>
              </w:tabs>
              <w:adjustRightInd w:val="0"/>
              <w:snapToGrid w:val="0"/>
              <w:spacing w:line="26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《中华人民共和国水污染防治法》</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第三十条</w:t>
            </w:r>
            <w:r>
              <w:rPr>
                <w:rFonts w:ascii="仿宋" w:hAnsi="仿宋" w:eastAsia="仿宋" w:cs="仿宋"/>
                <w:szCs w:val="21"/>
              </w:rPr>
              <w:t xml:space="preserve"> </w:t>
            </w:r>
            <w:r>
              <w:rPr>
                <w:rFonts w:hint="eastAsia" w:ascii="仿宋" w:hAnsi="仿宋" w:eastAsia="仿宋" w:cs="仿宋"/>
                <w:szCs w:val="21"/>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widowControl w:val="0"/>
              <w:tabs>
                <w:tab w:val="center" w:pos="4153"/>
                <w:tab w:val="right" w:pos="8306"/>
              </w:tabs>
              <w:adjustRightInd w:val="0"/>
              <w:snapToGrid w:val="0"/>
              <w:spacing w:line="260" w:lineRule="exact"/>
              <w:rPr>
                <w:rFonts w:ascii="仿宋" w:hAnsi="仿宋" w:eastAsia="仿宋" w:cs="仿宋"/>
                <w:b/>
                <w:bCs/>
                <w:szCs w:val="21"/>
                <w:shd w:val="clear" w:color="auto" w:fill="FFFFFF"/>
              </w:rPr>
            </w:pPr>
            <w:r>
              <w:rPr>
                <w:rFonts w:ascii="仿宋" w:hAnsi="仿宋" w:eastAsia="仿宋" w:cs="仿宋"/>
                <w:b/>
                <w:bCs/>
                <w:szCs w:val="21"/>
                <w:shd w:val="clear" w:color="auto" w:fill="FFFFFF"/>
              </w:rPr>
              <w:t>3.</w:t>
            </w:r>
            <w:r>
              <w:rPr>
                <w:rFonts w:hint="eastAsia" w:ascii="仿宋" w:hAnsi="仿宋" w:eastAsia="仿宋" w:cs="仿宋"/>
                <w:b/>
                <w:bCs/>
                <w:szCs w:val="21"/>
                <w:shd w:val="clear" w:color="auto" w:fill="FFFFFF"/>
              </w:rPr>
              <w:t>《湖南省环境保护条例》</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被检查者应当配合检查，如实反映情况，提供必要的资料。</w:t>
            </w:r>
          </w:p>
          <w:p>
            <w:pPr>
              <w:widowControl w:val="0"/>
              <w:tabs>
                <w:tab w:val="center" w:pos="4153"/>
                <w:tab w:val="right" w:pos="8306"/>
              </w:tabs>
              <w:adjustRightInd w:val="0"/>
              <w:snapToGrid w:val="0"/>
              <w:spacing w:line="260" w:lineRule="exact"/>
              <w:rPr>
                <w:rFonts w:ascii="仿宋" w:hAnsi="仿宋" w:eastAsia="仿宋" w:cs="仿宋"/>
                <w:szCs w:val="21"/>
                <w:shd w:val="clear" w:color="auto" w:fill="FFFFFF"/>
              </w:rPr>
            </w:pPr>
            <w:r>
              <w:rPr>
                <w:rFonts w:ascii="仿宋" w:hAnsi="仿宋" w:eastAsia="仿宋" w:cs="仿宋"/>
                <w:b/>
                <w:szCs w:val="21"/>
                <w:shd w:val="clear" w:color="auto" w:fill="FFFFFF"/>
              </w:rPr>
              <w:t>4.</w:t>
            </w:r>
            <w:r>
              <w:rPr>
                <w:rFonts w:hint="eastAsia" w:ascii="仿宋" w:hAnsi="仿宋" w:eastAsia="仿宋" w:cs="仿宋"/>
                <w:b/>
                <w:szCs w:val="21"/>
                <w:shd w:val="clear" w:color="auto" w:fill="FFFFFF"/>
              </w:rPr>
              <w:t>《湖南省水污染防治条例》</w:t>
            </w:r>
            <w:r>
              <w:rPr>
                <w:rFonts w:hint="eastAsia" w:ascii="仿宋" w:hAnsi="仿宋" w:eastAsia="仿宋" w:cs="仿宋"/>
                <w:szCs w:val="21"/>
                <w:shd w:val="clear" w:color="auto" w:fill="FFFFFF"/>
              </w:rPr>
              <w:t>（自</w:t>
            </w:r>
            <w:r>
              <w:rPr>
                <w:rFonts w:ascii="仿宋" w:hAnsi="仿宋" w:eastAsia="仿宋" w:cs="仿宋"/>
                <w:szCs w:val="21"/>
                <w:shd w:val="clear" w:color="auto" w:fill="FFFFFF"/>
              </w:rPr>
              <w:t>2025</w:t>
            </w:r>
            <w:r>
              <w:rPr>
                <w:rFonts w:hint="eastAsia" w:ascii="仿宋" w:hAnsi="仿宋" w:eastAsia="仿宋" w:cs="仿宋"/>
                <w:szCs w:val="21"/>
                <w:shd w:val="clear" w:color="auto" w:fill="FFFFFF"/>
              </w:rPr>
              <w:t>年</w:t>
            </w:r>
            <w:r>
              <w:rPr>
                <w:rFonts w:ascii="仿宋" w:hAnsi="仿宋" w:eastAsia="仿宋" w:cs="仿宋"/>
                <w:szCs w:val="21"/>
                <w:shd w:val="clear" w:color="auto" w:fill="FFFFFF"/>
              </w:rPr>
              <w:t>5</w:t>
            </w:r>
            <w:r>
              <w:rPr>
                <w:rFonts w:hint="eastAsia" w:ascii="仿宋" w:hAnsi="仿宋" w:eastAsia="仿宋" w:cs="仿宋"/>
                <w:szCs w:val="21"/>
                <w:shd w:val="clear" w:color="auto" w:fill="FFFFFF"/>
              </w:rPr>
              <w:t>月</w:t>
            </w:r>
            <w:r>
              <w:rPr>
                <w:rFonts w:ascii="仿宋" w:hAnsi="仿宋" w:eastAsia="仿宋" w:cs="仿宋"/>
                <w:szCs w:val="21"/>
                <w:shd w:val="clear" w:color="auto" w:fill="FFFFFF"/>
              </w:rPr>
              <w:t>1</w:t>
            </w:r>
            <w:r>
              <w:rPr>
                <w:rFonts w:hint="eastAsia" w:ascii="仿宋" w:hAnsi="仿宋" w:eastAsia="仿宋" w:cs="仿宋"/>
                <w:szCs w:val="21"/>
                <w:shd w:val="clear" w:color="auto" w:fill="FFFFFF"/>
              </w:rPr>
              <w:t>日起施行）</w:t>
            </w:r>
            <w:r>
              <w:rPr>
                <w:rFonts w:ascii="仿宋" w:hAnsi="仿宋" w:eastAsia="仿宋" w:cs="仿宋"/>
                <w:szCs w:val="21"/>
                <w:shd w:val="clear" w:color="auto" w:fill="FFFFFF"/>
              </w:rPr>
              <w:t xml:space="preserve"> </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第十三条</w:t>
            </w:r>
            <w:r>
              <w:rPr>
                <w:rFonts w:ascii="仿宋" w:hAnsi="仿宋" w:eastAsia="仿宋" w:cs="仿宋"/>
                <w:szCs w:val="21"/>
                <w:shd w:val="clear" w:color="auto" w:fill="FFFFFF"/>
              </w:rPr>
              <w:t xml:space="preserve"> </w:t>
            </w:r>
            <w:r>
              <w:rPr>
                <w:rFonts w:hint="eastAsia" w:ascii="仿宋" w:hAnsi="仿宋" w:eastAsia="仿宋" w:cs="仿宋"/>
                <w:szCs w:val="21"/>
                <w:shd w:val="clear" w:color="auto" w:fill="FFFFFF"/>
              </w:rPr>
              <w:t>设区的市（自治州）人民政府生态环境主管部门及其派出机构应当会同有关部门对废水接入城镇污水集中处理设施的工业企业开展专项评估；经评估认定污染物不能被城镇污水集中处理设施有效处理或者可能影响出水稳定达标的，督促企业整改或者限期退出城镇污水收集管网。</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排放工业废水的企业应当采取有效措施，推进工业废水循环利用，并收集和处理产生的全部废水，防止污染环境。含有毒有害水污染物的工业废水应当分类收集和处理，不得稀释排放。</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水科、支队及各分局承担相应职责的机构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pacing w:val="-10"/>
                <w:szCs w:val="21"/>
              </w:rPr>
            </w:pPr>
            <w:r>
              <w:rPr>
                <w:rFonts w:hint="eastAsia" w:ascii="仿宋" w:hAnsi="仿宋" w:eastAsia="仿宋" w:cs="仿宋"/>
                <w:spacing w:val="-10"/>
                <w:szCs w:val="21"/>
              </w:rPr>
              <w:t>排放水污染物的企业和其他生产经营者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污染防治设施运行情况监督检查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达标排放情况监督检查</w:t>
            </w:r>
          </w:p>
        </w:tc>
        <w:tc>
          <w:tcPr>
            <w:tcW w:w="1203" w:type="dxa"/>
            <w:vAlign w:val="center"/>
          </w:tcPr>
          <w:p>
            <w:pPr>
              <w:widowControl w:val="0"/>
              <w:adjustRightInd w:val="0"/>
              <w:snapToGrid w:val="0"/>
              <w:spacing w:line="300" w:lineRule="exact"/>
              <w:textAlignment w:val="center"/>
              <w:rPr>
                <w:rFonts w:ascii="仿宋" w:hAnsi="仿宋" w:eastAsia="仿宋" w:cs="仿宋"/>
                <w:bCs/>
                <w:kern w:val="0"/>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bCs/>
                <w:kern w:val="0"/>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3" w:hRule="atLeast"/>
          <w:jc w:val="center"/>
        </w:trPr>
        <w:tc>
          <w:tcPr>
            <w:tcW w:w="788" w:type="dxa"/>
            <w:vAlign w:val="center"/>
          </w:tcPr>
          <w:p>
            <w:pPr>
              <w:widowControl w:val="0"/>
              <w:adjustRightInd w:val="0"/>
              <w:snapToGrid w:val="0"/>
              <w:spacing w:line="280" w:lineRule="exact"/>
              <w:jc w:val="center"/>
              <w:textAlignment w:val="center"/>
              <w:rPr>
                <w:rFonts w:ascii="仿宋" w:hAnsi="仿宋" w:eastAsia="仿宋" w:cs="仿宋"/>
                <w:kern w:val="0"/>
                <w:szCs w:val="21"/>
              </w:rPr>
            </w:pPr>
            <w:r>
              <w:rPr>
                <w:rFonts w:ascii="仿宋" w:hAnsi="仿宋" w:eastAsia="仿宋" w:cs="仿宋"/>
                <w:kern w:val="0"/>
                <w:szCs w:val="21"/>
              </w:rPr>
              <w:t>5</w:t>
            </w:r>
          </w:p>
        </w:tc>
        <w:tc>
          <w:tcPr>
            <w:tcW w:w="1723"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对城镇污水集中处理设施的出水水质和水量的行政检查</w:t>
            </w:r>
          </w:p>
        </w:tc>
        <w:tc>
          <w:tcPr>
            <w:tcW w:w="4009" w:type="dxa"/>
            <w:vAlign w:val="center"/>
          </w:tcPr>
          <w:p>
            <w:pPr>
              <w:widowControl w:val="0"/>
              <w:tabs>
                <w:tab w:val="center" w:pos="4153"/>
                <w:tab w:val="right" w:pos="8306"/>
              </w:tabs>
              <w:adjustRightInd w:val="0"/>
              <w:snapToGrid w:val="0"/>
              <w:spacing w:line="260" w:lineRule="exact"/>
              <w:rPr>
                <w:rFonts w:ascii="仿宋" w:hAnsi="仿宋" w:eastAsia="仿宋" w:cs="仿宋"/>
                <w:b/>
                <w:szCs w:val="21"/>
              </w:rPr>
            </w:pPr>
            <w:r>
              <w:rPr>
                <w:rFonts w:ascii="仿宋" w:hAnsi="仿宋" w:eastAsia="仿宋" w:cs="仿宋"/>
                <w:b/>
                <w:szCs w:val="21"/>
              </w:rPr>
              <w:t>1.</w:t>
            </w:r>
            <w:r>
              <w:rPr>
                <w:rFonts w:hint="eastAsia" w:ascii="仿宋" w:hAnsi="仿宋" w:eastAsia="仿宋" w:cs="仿宋"/>
                <w:b/>
                <w:szCs w:val="21"/>
              </w:rPr>
              <w:t>《中华人民共和国水污染防治法》</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第五十条</w:t>
            </w:r>
            <w:r>
              <w:rPr>
                <w:rFonts w:ascii="仿宋" w:hAnsi="仿宋" w:eastAsia="仿宋" w:cs="仿宋"/>
                <w:szCs w:val="21"/>
              </w:rPr>
              <w:t xml:space="preserve"> </w:t>
            </w:r>
            <w:r>
              <w:rPr>
                <w:rFonts w:hint="eastAsia" w:ascii="仿宋" w:hAnsi="仿宋" w:eastAsia="仿宋" w:cs="仿宋"/>
                <w:szCs w:val="21"/>
              </w:rPr>
              <w:t>向城镇污水集中处理设施排放水污染物，应当符合国家或者地方规定的水污染物排放标准。</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城镇污水集中处理设施的运营单位，应当对城镇污水集中处理设施的出水水质负责。</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环境保护主管部门应当对城镇污水集中处理设施的出水水质和水量进行监督检查。</w:t>
            </w:r>
          </w:p>
          <w:p>
            <w:pPr>
              <w:widowControl w:val="0"/>
              <w:tabs>
                <w:tab w:val="center" w:pos="4153"/>
                <w:tab w:val="right" w:pos="8306"/>
              </w:tabs>
              <w:adjustRightInd w:val="0"/>
              <w:snapToGrid w:val="0"/>
              <w:spacing w:line="260" w:lineRule="exact"/>
              <w:rPr>
                <w:rFonts w:ascii="仿宋" w:hAnsi="仿宋" w:eastAsia="仿宋" w:cs="仿宋"/>
                <w:szCs w:val="21"/>
              </w:rPr>
            </w:pPr>
            <w:r>
              <w:rPr>
                <w:rFonts w:ascii="仿宋" w:hAnsi="仿宋" w:eastAsia="仿宋" w:cs="仿宋"/>
                <w:b/>
                <w:szCs w:val="21"/>
              </w:rPr>
              <w:t>2.</w:t>
            </w:r>
            <w:r>
              <w:rPr>
                <w:rFonts w:hint="eastAsia" w:ascii="仿宋" w:hAnsi="仿宋" w:eastAsia="仿宋" w:cs="仿宋"/>
                <w:b/>
                <w:szCs w:val="21"/>
              </w:rPr>
              <w:t>《湖南省城镇污水管网建设运行管理若干规定》</w:t>
            </w:r>
            <w:r>
              <w:rPr>
                <w:rFonts w:ascii="仿宋" w:hAnsi="仿宋" w:eastAsia="仿宋" w:cs="仿宋"/>
                <w:b/>
                <w:szCs w:val="21"/>
              </w:rPr>
              <w:t xml:space="preserve">  </w:t>
            </w:r>
            <w:r>
              <w:rPr>
                <w:rFonts w:hint="eastAsia" w:ascii="仿宋" w:hAnsi="仿宋" w:eastAsia="仿宋" w:cs="仿宋"/>
                <w:szCs w:val="21"/>
              </w:rPr>
              <w:t>第一条第三款：县级以上人民政府发展改革、财政、自然资源、生态环境、水利等部门按照各自职责，做好相关工作。</w:t>
            </w:r>
          </w:p>
        </w:tc>
        <w:tc>
          <w:tcPr>
            <w:tcW w:w="1573"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水科、支队及各各分局承担相应职责的机构</w:t>
            </w:r>
          </w:p>
        </w:tc>
        <w:tc>
          <w:tcPr>
            <w:tcW w:w="1246"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城镇污水集中处理设施的运营企业</w:t>
            </w:r>
          </w:p>
        </w:tc>
        <w:tc>
          <w:tcPr>
            <w:tcW w:w="1370"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达标排放情况监督检查</w:t>
            </w:r>
          </w:p>
        </w:tc>
        <w:tc>
          <w:tcPr>
            <w:tcW w:w="1203" w:type="dxa"/>
            <w:vAlign w:val="center"/>
          </w:tcPr>
          <w:p>
            <w:pPr>
              <w:widowControl w:val="0"/>
              <w:adjustRightInd w:val="0"/>
              <w:snapToGrid w:val="0"/>
              <w:spacing w:line="28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28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szCs w:val="21"/>
              </w:rPr>
              <w:t>6</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对入河排污口的行政检查</w:t>
            </w:r>
          </w:p>
        </w:tc>
        <w:tc>
          <w:tcPr>
            <w:tcW w:w="400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b/>
                <w:bCs/>
                <w:szCs w:val="21"/>
              </w:rPr>
              <w:t>《入河排污口监督管理办法》</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第二十六条</w:t>
            </w:r>
            <w:r>
              <w:rPr>
                <w:rFonts w:ascii="仿宋" w:hAnsi="仿宋" w:eastAsia="仿宋" w:cs="仿宋"/>
                <w:szCs w:val="21"/>
              </w:rPr>
              <w:t xml:space="preserve"> </w:t>
            </w:r>
            <w:r>
              <w:rPr>
                <w:rFonts w:hint="eastAsia" w:ascii="仿宋" w:hAnsi="仿宋" w:eastAsia="仿宋" w:cs="仿宋"/>
                <w:szCs w:val="21"/>
              </w:rPr>
              <w:t>流域生态环境监督管理机构应当加大对流域内入河排污口的监督检查力度，发现问题及时通报有关单位。</w:t>
            </w:r>
          </w:p>
          <w:p>
            <w:pPr>
              <w:widowControl w:val="0"/>
              <w:overflowPunct w:val="0"/>
              <w:topLinePunct/>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rPr>
              <w:t>地方生态环境主管部门应当加强对入河排污口的现场检查，必要时可以会同有关部门开展联合监督检查。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水科、支队及各分局承担相应职责的机构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入河排污口责任主体（排污企业）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设置审批或登记情况监督检查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排查整治情况监督检查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规范化建设情况监督检查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达标排放情况监督检查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kern w:val="0"/>
                <w:szCs w:val="21"/>
              </w:rPr>
              <w:t>7</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对饮用水水源保护区及有关流域、区域内污染物排放情况的行政检查</w:t>
            </w:r>
          </w:p>
        </w:tc>
        <w:tc>
          <w:tcPr>
            <w:tcW w:w="4009" w:type="dxa"/>
            <w:vAlign w:val="center"/>
          </w:tcPr>
          <w:p>
            <w:pPr>
              <w:widowControl w:val="0"/>
              <w:overflowPunct w:val="0"/>
              <w:topLinePunct/>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《湖南省饮用水水源保护条例》</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饮用水水源水质达不到国家规定水质标准的，县级以上人民政府可以对有关区域的排污单位依法采取停产、限产等措施，减少污染物排放，确保饮用水安全。</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对饮用水水源保护区和准保护区内不能确定责任人的污染源，由所在地县级人民政府组织有关部门和单位予以治理。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《常德市饮用水水源保护条例》</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w:t>
            </w:r>
            <w:r>
              <w:rPr>
                <w:rFonts w:ascii="仿宋" w:hAnsi="仿宋" w:eastAsia="仿宋" w:cs="仿宋"/>
                <w:szCs w:val="21"/>
              </w:rPr>
              <w:t xml:space="preserve"> </w:t>
            </w:r>
            <w:r>
              <w:rPr>
                <w:rFonts w:hint="eastAsia" w:ascii="仿宋" w:hAnsi="仿宋" w:eastAsia="仿宋" w:cs="仿宋"/>
                <w:szCs w:val="21"/>
              </w:rPr>
              <w:t>生态环境部门对饮用水水源污染防治实施统一监督管理，组织开展饮用水水源水质监测，定期向社会公布饮用水水源水质信息。　</w:t>
            </w:r>
          </w:p>
          <w:p>
            <w:pPr>
              <w:widowControl w:val="0"/>
              <w:overflowPunct w:val="0"/>
              <w:topLinePunct/>
              <w:adjustRightInd w:val="0"/>
              <w:snapToGrid w:val="0"/>
              <w:spacing w:line="300" w:lineRule="exact"/>
              <w:ind w:firstLine="420" w:firstLineChars="200"/>
              <w:rPr>
                <w:rFonts w:ascii="仿宋" w:hAnsi="仿宋" w:eastAsia="仿宋" w:cs="仿宋"/>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水科、支队及各分局承担相应职责的机构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饮用水水源保护区及有关流域、区域内污染物排放企业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污染源整治的监督检查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规范化建设的监督检查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水质达标的监督检查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szCs w:val="21"/>
              </w:rPr>
              <w:t>8</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对长江流域各类保护、开发、建设活动的行政检查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《中华人民共和国长江保护法》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第七十九条第一款</w:t>
            </w:r>
            <w:r>
              <w:rPr>
                <w:rFonts w:ascii="仿宋" w:hAnsi="仿宋" w:eastAsia="仿宋" w:cs="仿宋"/>
                <w:szCs w:val="21"/>
              </w:rPr>
              <w:t xml:space="preserve"> </w:t>
            </w:r>
            <w:r>
              <w:rPr>
                <w:rFonts w:hint="eastAsia" w:ascii="仿宋" w:hAnsi="仿宋" w:eastAsia="仿宋" w:cs="仿宋"/>
                <w:szCs w:val="21"/>
              </w:rPr>
              <w:t>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《湖南省洞庭湖保护条例》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第二十三条</w:t>
            </w:r>
            <w:r>
              <w:rPr>
                <w:rFonts w:ascii="仿宋" w:hAnsi="仿宋" w:eastAsia="仿宋" w:cs="仿宋"/>
                <w:szCs w:val="21"/>
              </w:rPr>
              <w:t xml:space="preserve"> </w:t>
            </w:r>
            <w:r>
              <w:rPr>
                <w:rFonts w:hint="eastAsia" w:ascii="仿宋" w:hAnsi="仿宋" w:eastAsia="仿宋" w:cs="仿宋"/>
                <w:szCs w:val="21"/>
              </w:rPr>
              <w:t>湖区市、县（市、区）人民政府生态环境主管部门应当建立洞庭湖工业污染源信息库。</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湖区市、县（市、区）人民政府应当加强对工业污染源的监管，严格控制重点行业氮磷排放总量。</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《常德市城市河湖环境保护条例》</w:t>
            </w:r>
          </w:p>
          <w:p>
            <w:pPr>
              <w:pStyle w:val="7"/>
              <w:spacing w:beforeAutospacing="0" w:afterAutospacing="0" w:line="300" w:lineRule="exact"/>
              <w:ind w:firstLine="420" w:firstLineChars="200"/>
              <w:rPr>
                <w:rFonts w:ascii="仿宋" w:hAnsi="仿宋" w:eastAsia="仿宋" w:cs="仿宋"/>
                <w:kern w:val="2"/>
                <w:sz w:val="21"/>
                <w:szCs w:val="21"/>
              </w:rPr>
            </w:pPr>
            <w:r>
              <w:rPr>
                <w:rFonts w:hint="eastAsia" w:ascii="仿宋" w:hAnsi="仿宋" w:eastAsia="仿宋" w:cs="仿宋"/>
                <w:kern w:val="2"/>
                <w:sz w:val="21"/>
                <w:szCs w:val="21"/>
              </w:rPr>
              <w:t>第二十三条</w:t>
            </w:r>
            <w:r>
              <w:rPr>
                <w:rFonts w:ascii="仿宋" w:hAnsi="仿宋" w:eastAsia="仿宋" w:cs="仿宋"/>
                <w:kern w:val="2"/>
                <w:sz w:val="21"/>
                <w:szCs w:val="21"/>
              </w:rPr>
              <w:t xml:space="preserve"> </w:t>
            </w:r>
            <w:r>
              <w:rPr>
                <w:rFonts w:hint="eastAsia" w:ascii="仿宋" w:hAnsi="仿宋" w:eastAsia="仿宋" w:cs="仿宋"/>
                <w:kern w:val="2"/>
                <w:sz w:val="21"/>
                <w:szCs w:val="21"/>
              </w:rPr>
              <w:t>环境保护部门应当会同住房和城乡建设、水行政、城市管理、规划等部门开展巡查、现场检查和联合执法，对违法填占河湖、污染水体等行为依法予以处理。</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水科、支队及各分局承担相应职责的机构</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szCs w:val="21"/>
              </w:rPr>
              <w:t>长江流域各类保护、开发、建设活动的企业</w:t>
            </w:r>
          </w:p>
        </w:tc>
        <w:tc>
          <w:tcPr>
            <w:tcW w:w="1370"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、污染长江流域环境的监督检查</w:t>
            </w:r>
            <w:r>
              <w:rPr>
                <w:rFonts w:ascii="仿宋" w:hAnsi="仿宋" w:eastAsia="仿宋" w:cs="仿宋"/>
                <w:szCs w:val="21"/>
              </w:rPr>
              <w:t xml:space="preserve">    2</w:t>
            </w:r>
            <w:r>
              <w:rPr>
                <w:rFonts w:hint="eastAsia" w:ascii="仿宋" w:hAnsi="仿宋" w:eastAsia="仿宋" w:cs="仿宋"/>
                <w:szCs w:val="21"/>
              </w:rPr>
              <w:t>、损害长江流域生态系统的检查</w:t>
            </w:r>
          </w:p>
        </w:tc>
        <w:tc>
          <w:tcPr>
            <w:tcW w:w="1203" w:type="dxa"/>
            <w:vAlign w:val="center"/>
          </w:tcPr>
          <w:p>
            <w:pPr>
              <w:widowControl w:val="0"/>
              <w:adjustRightInd w:val="0"/>
              <w:snapToGrid w:val="0"/>
              <w:spacing w:line="300" w:lineRule="exact"/>
              <w:jc w:val="left"/>
              <w:textAlignment w:val="center"/>
              <w:rPr>
                <w:rFonts w:ascii="仿宋" w:hAnsi="仿宋" w:eastAsia="仿宋" w:cs="仿宋"/>
                <w:b/>
                <w:bCs/>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788" w:type="dxa"/>
            <w:vAlign w:val="center"/>
          </w:tcPr>
          <w:p>
            <w:pPr>
              <w:widowControl w:val="0"/>
              <w:adjustRightInd w:val="0"/>
              <w:snapToGrid w:val="0"/>
              <w:spacing w:line="300" w:lineRule="exact"/>
              <w:jc w:val="center"/>
              <w:textAlignment w:val="center"/>
              <w:rPr>
                <w:rFonts w:ascii="仿宋" w:hAnsi="仿宋" w:eastAsia="仿宋" w:cs="仿宋"/>
                <w:kern w:val="0"/>
                <w:szCs w:val="21"/>
              </w:rPr>
            </w:pPr>
            <w:r>
              <w:rPr>
                <w:rFonts w:ascii="仿宋" w:hAnsi="仿宋" w:eastAsia="仿宋" w:cs="仿宋"/>
                <w:kern w:val="0"/>
                <w:szCs w:val="21"/>
              </w:rPr>
              <w:t>9</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对排放大气污染物的企业事业单位和其他生产经营者的行政检查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b/>
                <w:bCs/>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第二十九条</w:t>
            </w:r>
            <w:r>
              <w:rPr>
                <w:rFonts w:ascii="仿宋" w:hAnsi="仿宋" w:eastAsia="仿宋" w:cs="仿宋"/>
                <w:szCs w:val="21"/>
              </w:rPr>
              <w:t xml:space="preserve"> </w:t>
            </w:r>
            <w:r>
              <w:rPr>
                <w:rFonts w:hint="eastAsia" w:ascii="仿宋" w:hAnsi="仿宋" w:eastAsia="仿宋" w:cs="仿宋"/>
                <w:szCs w:val="21"/>
              </w:rPr>
              <w:t>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widowControl w:val="0"/>
              <w:tabs>
                <w:tab w:val="center" w:pos="4153"/>
                <w:tab w:val="right" w:pos="8306"/>
              </w:tabs>
              <w:adjustRightInd w:val="0"/>
              <w:snapToGrid w:val="0"/>
              <w:spacing w:line="300" w:lineRule="exact"/>
              <w:rPr>
                <w:rFonts w:ascii="仿宋" w:hAnsi="仿宋" w:eastAsia="仿宋" w:cs="仿宋"/>
                <w:b/>
                <w:bCs/>
                <w:szCs w:val="21"/>
                <w:shd w:val="clear" w:color="auto" w:fill="FFFFFF"/>
              </w:rPr>
            </w:pPr>
            <w:r>
              <w:rPr>
                <w:rFonts w:ascii="仿宋" w:hAnsi="仿宋" w:eastAsia="仿宋" w:cs="仿宋"/>
                <w:b/>
                <w:bCs/>
                <w:szCs w:val="21"/>
                <w:shd w:val="clear" w:color="auto" w:fill="FFFFFF"/>
              </w:rPr>
              <w:t>3.</w:t>
            </w:r>
            <w:r>
              <w:rPr>
                <w:rFonts w:hint="eastAsia" w:ascii="仿宋" w:hAnsi="仿宋" w:eastAsia="仿宋" w:cs="仿宋"/>
                <w:b/>
                <w:bCs/>
                <w:szCs w:val="21"/>
                <w:shd w:val="clear" w:color="auto" w:fill="FFFFFF"/>
              </w:rPr>
              <w:t>《湖南省环境保护条例》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shd w:val="clear" w:color="auto" w:fill="FFFFFF"/>
              </w:rPr>
              <w:t>被检查者应当配合检查，如实反映情况，提供必要的资料。</w:t>
            </w:r>
          </w:p>
          <w:p>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szCs w:val="21"/>
              </w:rPr>
            </w:pPr>
            <w:r>
              <w:rPr>
                <w:rFonts w:hint="eastAsia" w:ascii="仿宋" w:hAnsi="仿宋" w:eastAsia="仿宋" w:cs="仿宋"/>
                <w:szCs w:val="21"/>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
                <w:bCs/>
                <w:color w:val="FF0000"/>
                <w:kern w:val="2"/>
                <w:sz w:val="21"/>
                <w:szCs w:val="21"/>
                <w:lang w:val="en-US" w:eastAsia="zh-CN" w:bidi="ar"/>
              </w:rPr>
            </w:pPr>
            <w:r>
              <w:rPr>
                <w:rFonts w:hint="eastAsia" w:ascii="仿宋" w:hAnsi="仿宋" w:eastAsia="仿宋" w:cs="仿宋"/>
                <w:b/>
                <w:bCs/>
                <w:color w:val="FF0000"/>
                <w:kern w:val="2"/>
                <w:sz w:val="21"/>
                <w:szCs w:val="21"/>
                <w:lang w:val="en-US" w:eastAsia="zh-CN" w:bidi="ar"/>
              </w:rPr>
              <w:t>4.《湖南省大气污染防治条例》</w:t>
            </w:r>
            <w:bookmarkStart w:id="4" w:name="_GoBack"/>
            <w:bookmarkEnd w:id="4"/>
          </w:p>
          <w:p>
            <w:pPr>
              <w:keepNext w:val="0"/>
              <w:keepLines w:val="0"/>
              <w:widowControl w:val="0"/>
              <w:suppressLineNumbers w:val="0"/>
              <w:spacing w:before="0" w:beforeLines="0" w:beforeAutospacing="0" w:after="0" w:afterLines="0" w:afterAutospacing="0"/>
              <w:ind w:left="0" w:leftChars="0" w:right="0" w:rightChars="0" w:firstLine="420" w:firstLineChars="200"/>
              <w:jc w:val="both"/>
              <w:rPr>
                <w:rFonts w:hint="eastAsia" w:ascii="仿宋" w:hAnsi="仿宋" w:eastAsia="仿宋" w:cs="仿宋"/>
                <w:color w:val="FF0000"/>
                <w:kern w:val="2"/>
                <w:sz w:val="21"/>
                <w:szCs w:val="21"/>
                <w:lang w:val="en-US" w:eastAsia="zh-CN" w:bidi="ar"/>
              </w:rPr>
            </w:pPr>
            <w:r>
              <w:rPr>
                <w:rFonts w:hint="eastAsia" w:ascii="仿宋" w:hAnsi="仿宋" w:eastAsia="仿宋" w:cs="仿宋"/>
                <w:color w:val="FF0000"/>
                <w:kern w:val="2"/>
                <w:sz w:val="21"/>
                <w:szCs w:val="21"/>
                <w:lang w:val="en-US" w:eastAsia="zh-CN" w:bidi="ar"/>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
                <w:bCs/>
                <w:color w:val="FF0000"/>
                <w:kern w:val="2"/>
                <w:sz w:val="21"/>
                <w:szCs w:val="21"/>
                <w:lang w:val="en-US" w:eastAsia="zh-CN" w:bidi="ar"/>
              </w:rPr>
            </w:pPr>
            <w:r>
              <w:rPr>
                <w:rFonts w:hint="eastAsia" w:ascii="仿宋" w:hAnsi="仿宋" w:eastAsia="仿宋" w:cs="仿宋"/>
                <w:b/>
                <w:bCs/>
                <w:color w:val="FF0000"/>
                <w:kern w:val="2"/>
                <w:sz w:val="21"/>
                <w:szCs w:val="21"/>
                <w:lang w:val="en-US" w:eastAsia="zh-CN" w:bidi="ar"/>
              </w:rPr>
              <w:t>5.《湖南省重污染天气防治若干规定》</w:t>
            </w:r>
          </w:p>
          <w:p>
            <w:pPr>
              <w:keepNext w:val="0"/>
              <w:keepLines w:val="0"/>
              <w:widowControl w:val="0"/>
              <w:suppressLineNumbers w:val="0"/>
              <w:spacing w:before="0" w:beforeLines="0" w:beforeAutospacing="0" w:after="0" w:afterLines="0" w:afterAutospacing="0"/>
              <w:ind w:left="0" w:leftChars="0" w:right="0" w:rightChars="0" w:firstLine="420" w:firstLineChars="200"/>
              <w:jc w:val="both"/>
              <w:rPr>
                <w:rFonts w:hint="eastAsia" w:ascii="仿宋" w:hAnsi="仿宋" w:eastAsia="仿宋" w:cs="仿宋"/>
                <w:color w:val="FF0000"/>
                <w:kern w:val="2"/>
                <w:sz w:val="21"/>
                <w:szCs w:val="21"/>
                <w:lang w:val="en-US" w:eastAsia="zh-CN" w:bidi="ar"/>
              </w:rPr>
            </w:pPr>
            <w:r>
              <w:rPr>
                <w:rFonts w:hint="eastAsia" w:ascii="仿宋" w:hAnsi="仿宋" w:eastAsia="仿宋" w:cs="仿宋"/>
                <w:color w:val="FF0000"/>
                <w:kern w:val="2"/>
                <w:sz w:val="21"/>
                <w:szCs w:val="21"/>
                <w:lang w:val="en-US" w:eastAsia="zh-CN" w:bidi="ar"/>
              </w:rPr>
              <w:t>第一条第二款 县级以上人民政府生态环境主管部门对重污染天气防治实施统一监督管理，县级以上人民政府其他有关部门在各自职责范围内对重污染天气防治实施监督管理。</w:t>
            </w:r>
          </w:p>
          <w:p>
            <w:pPr>
              <w:widowControl w:val="0"/>
              <w:tabs>
                <w:tab w:val="center" w:pos="4153"/>
                <w:tab w:val="right" w:pos="8306"/>
              </w:tabs>
              <w:adjustRightInd w:val="0"/>
              <w:snapToGrid w:val="0"/>
              <w:spacing w:line="300" w:lineRule="exact"/>
              <w:rPr>
                <w:rFonts w:ascii="仿宋" w:hAnsi="仿宋" w:eastAsia="仿宋" w:cs="仿宋"/>
                <w:b/>
                <w:szCs w:val="21"/>
              </w:rPr>
            </w:pPr>
            <w:r>
              <w:rPr>
                <w:rFonts w:hint="default" w:ascii="仿宋" w:hAnsi="仿宋" w:eastAsia="仿宋" w:cs="仿宋"/>
                <w:b/>
                <w:szCs w:val="21"/>
                <w:lang w:val="en"/>
              </w:rPr>
              <w:t>6</w:t>
            </w:r>
            <w:r>
              <w:rPr>
                <w:rFonts w:ascii="仿宋" w:hAnsi="仿宋" w:eastAsia="仿宋" w:cs="仿宋"/>
                <w:b/>
                <w:szCs w:val="21"/>
              </w:rPr>
              <w:t>.</w:t>
            </w:r>
            <w:r>
              <w:rPr>
                <w:rFonts w:hint="eastAsia" w:ascii="仿宋" w:hAnsi="仿宋" w:eastAsia="仿宋" w:cs="仿宋"/>
                <w:b/>
                <w:szCs w:val="21"/>
              </w:rPr>
              <w:t>《湖南省秸秆综合利用若干规定》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第三条第三款</w:t>
            </w:r>
            <w:r>
              <w:rPr>
                <w:rFonts w:ascii="仿宋" w:hAnsi="仿宋" w:eastAsia="仿宋" w:cs="仿宋"/>
                <w:szCs w:val="21"/>
              </w:rPr>
              <w:t xml:space="preserve"> </w:t>
            </w:r>
            <w:r>
              <w:rPr>
                <w:rFonts w:hint="eastAsia" w:ascii="仿宋" w:hAnsi="仿宋" w:eastAsia="仿宋" w:cs="仿宋"/>
                <w:szCs w:val="21"/>
              </w:rPr>
              <w:t>县级以上人民政府农业农村主管部门负责本行政区域内秸秆综合利用的指导和监督管理工作，生态环境主管部门负责本行政区域内露天焚烧秸秆的指导和监督管理工作。</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第五条第三款</w:t>
            </w:r>
            <w:r>
              <w:rPr>
                <w:rFonts w:ascii="仿宋" w:hAnsi="仿宋" w:eastAsia="仿宋" w:cs="仿宋"/>
                <w:szCs w:val="21"/>
              </w:rPr>
              <w:t xml:space="preserve"> </w:t>
            </w:r>
            <w:r>
              <w:rPr>
                <w:rFonts w:hint="eastAsia" w:ascii="仿宋" w:hAnsi="仿宋" w:eastAsia="仿宋" w:cs="仿宋"/>
                <w:szCs w:val="21"/>
              </w:rPr>
              <w:t>对禁烧区带有经检疫确需焚烧的病虫害的秸秆，在县级人民政府农业农村、生态环境主管部门采取安全可控措施后，可以露天焚烧。</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default" w:ascii="仿宋" w:hAnsi="仿宋" w:eastAsia="仿宋" w:cs="仿宋"/>
                <w:b/>
                <w:bCs/>
                <w:szCs w:val="21"/>
                <w:lang w:val="en"/>
              </w:rPr>
              <w:t>7</w:t>
            </w:r>
            <w:r>
              <w:rPr>
                <w:rFonts w:ascii="仿宋" w:hAnsi="仿宋" w:eastAsia="仿宋" w:cs="仿宋"/>
                <w:b/>
                <w:bCs/>
                <w:szCs w:val="21"/>
              </w:rPr>
              <w:t>.</w:t>
            </w:r>
            <w:r>
              <w:rPr>
                <w:rFonts w:hint="eastAsia" w:ascii="仿宋" w:hAnsi="仿宋" w:eastAsia="仿宋" w:cs="仿宋"/>
                <w:b/>
                <w:bCs/>
                <w:szCs w:val="21"/>
              </w:rPr>
              <w:t>《常德市大气污染防治若干规定》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w:t>
            </w:r>
            <w:r>
              <w:rPr>
                <w:rFonts w:ascii="仿宋" w:hAnsi="仿宋" w:eastAsia="仿宋" w:cs="仿宋"/>
                <w:szCs w:val="21"/>
              </w:rPr>
              <w:t> </w:t>
            </w:r>
            <w:r>
              <w:rPr>
                <w:rFonts w:hint="eastAsia" w:ascii="仿宋" w:hAnsi="仿宋" w:eastAsia="仿宋" w:cs="仿宋"/>
                <w:szCs w:val="21"/>
              </w:rPr>
              <w:t>生态环境部门对本行政区域内的大气污染防治工作实施统一监督管理。　　</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第七条</w:t>
            </w:r>
            <w:r>
              <w:rPr>
                <w:rFonts w:ascii="仿宋" w:hAnsi="仿宋" w:eastAsia="仿宋" w:cs="仿宋"/>
                <w:szCs w:val="21"/>
              </w:rPr>
              <w:t> </w:t>
            </w:r>
            <w:r>
              <w:rPr>
                <w:rFonts w:hint="eastAsia" w:ascii="仿宋" w:hAnsi="仿宋" w:eastAsia="仿宋" w:cs="仿宋"/>
                <w:szCs w:val="21"/>
              </w:rPr>
              <w:t>生态环境部门应当监督指导产生挥发性有机物废气的生产经营企业，调整工艺和时间，实行错峰生产。</w:t>
            </w:r>
          </w:p>
        </w:tc>
        <w:tc>
          <w:tcPr>
            <w:tcW w:w="1573"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排放大气污染物的企业和其他生产经营者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相关法律法规和排污许可规定事项监督检查</w:t>
            </w:r>
          </w:p>
        </w:tc>
        <w:tc>
          <w:tcPr>
            <w:tcW w:w="1203" w:type="dxa"/>
            <w:vAlign w:val="center"/>
          </w:tcPr>
          <w:p>
            <w:pPr>
              <w:widowControl w:val="0"/>
              <w:adjustRightInd w:val="0"/>
              <w:snapToGrid w:val="0"/>
              <w:spacing w:line="300" w:lineRule="exact"/>
              <w:textAlignment w:val="center"/>
              <w:rPr>
                <w:rFonts w:ascii="仿宋" w:hAnsi="仿宋" w:eastAsia="仿宋" w:cs="仿宋"/>
                <w:bCs/>
                <w:kern w:val="0"/>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bCs/>
                <w:kern w:val="0"/>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jc w:val="center"/>
        </w:trPr>
        <w:tc>
          <w:tcPr>
            <w:tcW w:w="788" w:type="dxa"/>
            <w:vAlign w:val="center"/>
          </w:tcPr>
          <w:p>
            <w:pPr>
              <w:widowControl w:val="0"/>
              <w:adjustRightInd w:val="0"/>
              <w:snapToGrid w:val="0"/>
              <w:spacing w:line="300" w:lineRule="exact"/>
              <w:jc w:val="center"/>
              <w:textAlignment w:val="center"/>
              <w:rPr>
                <w:rFonts w:ascii="仿宋" w:hAnsi="仿宋" w:eastAsia="仿宋" w:cs="仿宋"/>
                <w:kern w:val="0"/>
                <w:szCs w:val="21"/>
              </w:rPr>
            </w:pPr>
            <w:r>
              <w:rPr>
                <w:rFonts w:ascii="仿宋" w:hAnsi="仿宋" w:eastAsia="仿宋" w:cs="仿宋"/>
                <w:kern w:val="0"/>
                <w:szCs w:val="21"/>
              </w:rPr>
              <w:t>10</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对排放噪声的单位或者场所的行政检查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b/>
                <w:bCs/>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《中华人民共和国噪声污染防治法》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第二十九条</w:t>
            </w:r>
            <w:r>
              <w:rPr>
                <w:rFonts w:ascii="仿宋" w:hAnsi="仿宋" w:eastAsia="仿宋" w:cs="仿宋"/>
                <w:szCs w:val="21"/>
              </w:rPr>
              <w:t xml:space="preserve"> </w:t>
            </w:r>
            <w:r>
              <w:rPr>
                <w:rFonts w:hint="eastAsia" w:ascii="仿宋" w:hAnsi="仿宋" w:eastAsia="仿宋" w:cs="仿宋"/>
                <w:szCs w:val="21"/>
              </w:rPr>
              <w:t>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widowControl w:val="0"/>
              <w:tabs>
                <w:tab w:val="center" w:pos="4153"/>
                <w:tab w:val="right" w:pos="8306"/>
              </w:tabs>
              <w:adjustRightInd w:val="0"/>
              <w:snapToGrid w:val="0"/>
              <w:spacing w:line="300" w:lineRule="exact"/>
              <w:rPr>
                <w:rFonts w:ascii="仿宋" w:hAnsi="仿宋" w:eastAsia="仿宋" w:cs="仿宋"/>
                <w:b/>
                <w:bCs/>
                <w:szCs w:val="21"/>
                <w:shd w:val="clear" w:color="auto" w:fill="FFFFFF"/>
              </w:rPr>
            </w:pPr>
            <w:r>
              <w:rPr>
                <w:rFonts w:ascii="仿宋" w:hAnsi="仿宋" w:eastAsia="仿宋" w:cs="仿宋"/>
                <w:b/>
                <w:bCs/>
                <w:szCs w:val="21"/>
                <w:shd w:val="clear" w:color="auto" w:fill="FFFFFF"/>
              </w:rPr>
              <w:t>3.</w:t>
            </w:r>
            <w:r>
              <w:rPr>
                <w:rFonts w:hint="eastAsia" w:ascii="仿宋" w:hAnsi="仿宋" w:eastAsia="仿宋" w:cs="仿宋"/>
                <w:b/>
                <w:bCs/>
                <w:szCs w:val="21"/>
                <w:shd w:val="clear" w:color="auto" w:fill="FFFFFF"/>
              </w:rPr>
              <w:t>《湖南省环境保护条例》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shd w:val="clear" w:color="auto" w:fill="FFFFFF"/>
              </w:rPr>
              <w:t>被检查者应当配合检查，如实反映情况，提供必要的资料。</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排放噪声的企业和其他经营者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是否按要求将噪声污染防治纳入排污许可的监督检查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提供噪声排放限值及自行检测要求的监测报告等</w:t>
            </w:r>
          </w:p>
        </w:tc>
        <w:tc>
          <w:tcPr>
            <w:tcW w:w="1203" w:type="dxa"/>
            <w:vAlign w:val="center"/>
          </w:tcPr>
          <w:p>
            <w:pPr>
              <w:widowControl w:val="0"/>
              <w:adjustRightInd w:val="0"/>
              <w:snapToGrid w:val="0"/>
              <w:spacing w:line="300" w:lineRule="exact"/>
              <w:textAlignment w:val="center"/>
              <w:rPr>
                <w:rFonts w:ascii="仿宋" w:hAnsi="仿宋" w:eastAsia="仿宋" w:cs="仿宋"/>
                <w:bCs/>
                <w:kern w:val="0"/>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bCs/>
                <w:kern w:val="0"/>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szCs w:val="21"/>
              </w:rPr>
              <w:t>11</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对机动车排放检验机构的排放检验情况的行政检查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rPr>
              <w:t>生态环境主管部门和认证认可监督管理部门应当对机动车排放检验机构的排放检验情况进行监督检查。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大气科（机动车尾气中心）、支队及各分局承担相应职责的机构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机动车排放检验机构（经营主体）</w:t>
            </w:r>
          </w:p>
        </w:tc>
        <w:tc>
          <w:tcPr>
            <w:tcW w:w="1370" w:type="dxa"/>
            <w:vAlign w:val="center"/>
          </w:tcPr>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对是否未经检验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直接出具检验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数据和结果的监督检查</w:t>
            </w:r>
          </w:p>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对是否篡改、伪造、编造原始数据出具检验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数据和结果的监督检查</w:t>
            </w:r>
          </w:p>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对检验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结果是否与原始数据不一致且无法溯源的监督检查</w:t>
            </w:r>
          </w:p>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napToGrid w:val="0"/>
                <w:spacing w:val="-6"/>
                <w:kern w:val="0"/>
                <w:szCs w:val="21"/>
              </w:rPr>
              <w:t>4.</w:t>
            </w:r>
            <w:r>
              <w:rPr>
                <w:rFonts w:hint="eastAsia" w:ascii="仿宋" w:hAnsi="仿宋" w:eastAsia="仿宋" w:cs="仿宋"/>
                <w:snapToGrid w:val="0"/>
                <w:spacing w:val="-6"/>
                <w:kern w:val="0"/>
                <w:szCs w:val="21"/>
              </w:rPr>
              <w:t>对是否出具虚假数据、结果或报告，是否严格执行国家、省相关规范的监督检查</w:t>
            </w:r>
          </w:p>
        </w:tc>
        <w:tc>
          <w:tcPr>
            <w:tcW w:w="1203"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rPr>
                <w:rFonts w:ascii="仿宋" w:hAnsi="仿宋" w:eastAsia="仿宋" w:cs="仿宋"/>
                <w:szCs w:val="21"/>
                <w:highlight w:val="yellow"/>
              </w:rPr>
            </w:pPr>
            <w:r>
              <w:rPr>
                <w:rFonts w:hint="eastAsia" w:ascii="仿宋" w:hAnsi="仿宋" w:eastAsia="仿宋" w:cs="仿宋"/>
                <w:szCs w:val="21"/>
              </w:rPr>
              <w:t>部分联合检查（请大气处列明联合检查的内容及单位）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szCs w:val="21"/>
              </w:rPr>
              <w:t>12</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对机动车维修单位维修情况的行政检查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第五十五条</w:t>
            </w:r>
            <w:r>
              <w:rPr>
                <w:rFonts w:ascii="仿宋" w:hAnsi="仿宋" w:eastAsia="仿宋" w:cs="仿宋"/>
                <w:szCs w:val="21"/>
              </w:rPr>
              <w:t xml:space="preserve"> </w:t>
            </w:r>
            <w:r>
              <w:rPr>
                <w:rFonts w:hint="eastAsia" w:ascii="仿宋" w:hAnsi="仿宋" w:eastAsia="仿宋" w:cs="仿宋"/>
                <w:szCs w:val="21"/>
              </w:rPr>
              <w:t>机动车生产、进口企业应当向社会公布其生产、进口机动车车型的排放检验信息、污染控制技术信息和有关维修技术信息。</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机动车维修单位应当按照防治大气污染的要求和国家有关技术规范对在用机动车进行维修，使其达到规定的排放标准。交通运输、生态环境主管部门应当依法加强监督管理。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rPr>
              <w:t>禁止机动车所有人以临时更换机动车污染控制装置等弄虚作假的方式通过机动车排放检验。禁止机动车维修单位提供该类维修服务。禁止破坏机动车车载排放诊断系统。</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大气科（机动车尾气中心）、支队及各分局承担相应职责的机构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机动车维修企业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是否按照大气污染防治的要求和国家有关技术规范对在用机动车进行维修，使其达到规定的排放标准</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1"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szCs w:val="21"/>
              </w:rPr>
              <w:t>13</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对非道路移动机械的大气污染物排放状况的行政检查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第五十六条</w:t>
            </w:r>
            <w:r>
              <w:rPr>
                <w:rFonts w:ascii="仿宋" w:hAnsi="仿宋" w:eastAsia="仿宋" w:cs="仿宋"/>
                <w:szCs w:val="21"/>
              </w:rPr>
              <w:t xml:space="preserve"> </w:t>
            </w:r>
            <w:r>
              <w:rPr>
                <w:rFonts w:hint="eastAsia" w:ascii="仿宋" w:hAnsi="仿宋" w:eastAsia="仿宋" w:cs="仿宋"/>
                <w:szCs w:val="21"/>
              </w:rPr>
              <w:t>生态环境主管部门应当会同交通运输、住房城乡建设、农业行政、水行政等有关部门对非道路移动机械的大气污染物排放状况进行监督检查，排放不合格的，不得使用。</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《湖南省大气污染防治条例》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第三条第一款</w:t>
            </w:r>
            <w:r>
              <w:rPr>
                <w:rFonts w:ascii="仿宋" w:hAnsi="仿宋" w:eastAsia="仿宋" w:cs="仿宋"/>
                <w:szCs w:val="21"/>
              </w:rPr>
              <w:t xml:space="preserve"> </w:t>
            </w:r>
            <w:r>
              <w:rPr>
                <w:rFonts w:hint="eastAsia" w:ascii="仿宋" w:hAnsi="仿宋" w:eastAsia="仿宋" w:cs="仿宋"/>
                <w:szCs w:val="21"/>
              </w:rPr>
              <w:t>县级以上人民政府生态环境主管部门对大气污染防治实施统一监督管理。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第二十一条</w:t>
            </w:r>
            <w:r>
              <w:rPr>
                <w:rFonts w:ascii="仿宋" w:hAnsi="仿宋" w:eastAsia="仿宋" w:cs="仿宋"/>
                <w:szCs w:val="21"/>
              </w:rPr>
              <w:t xml:space="preserve"> </w:t>
            </w:r>
            <w:r>
              <w:rPr>
                <w:rFonts w:hint="eastAsia" w:ascii="仿宋" w:hAnsi="仿宋" w:eastAsia="仿宋" w:cs="仿宋"/>
                <w:szCs w:val="21"/>
              </w:rPr>
              <w:t>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《常德市大气污染防治若干规定》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第八条</w:t>
            </w:r>
            <w:r>
              <w:rPr>
                <w:rFonts w:ascii="仿宋" w:hAnsi="仿宋" w:eastAsia="仿宋" w:cs="仿宋"/>
                <w:szCs w:val="21"/>
              </w:rPr>
              <w:t> </w:t>
            </w:r>
            <w:r>
              <w:rPr>
                <w:rFonts w:hint="eastAsia" w:ascii="仿宋" w:hAnsi="仿宋" w:eastAsia="仿宋" w:cs="仿宋"/>
                <w:szCs w:val="21"/>
              </w:rPr>
              <w:t>实行非道路移动机械登记制度。非道路移动机械所有人或者使用人应当在三十日内到生态环境部门申请编码登记。</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p>
        </w:tc>
        <w:tc>
          <w:tcPr>
            <w:tcW w:w="1573" w:type="dxa"/>
            <w:vAlign w:val="center"/>
          </w:tcPr>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大气科（机动车尾气中心）、支队及各分局承担相应职责的机构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在用非道路移动机械</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对在用非道路移动机械的大气污染物排放状况进行监督检查，排放不合格的，不得使用</w:t>
            </w:r>
          </w:p>
        </w:tc>
        <w:tc>
          <w:tcPr>
            <w:tcW w:w="1203"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现场检查</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14</w:t>
            </w:r>
          </w:p>
        </w:tc>
        <w:tc>
          <w:tcPr>
            <w:tcW w:w="1723"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对在用机动车大气污染物排放状况的行政检查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第五十三条第二款</w:t>
            </w:r>
            <w:r>
              <w:rPr>
                <w:rFonts w:ascii="仿宋" w:hAnsi="仿宋" w:eastAsia="仿宋" w:cs="仿宋"/>
                <w:szCs w:val="21"/>
              </w:rPr>
              <w:t xml:space="preserve"> </w:t>
            </w:r>
            <w:r>
              <w:rPr>
                <w:rFonts w:hint="eastAsia" w:ascii="仿宋" w:hAnsi="仿宋" w:eastAsia="仿宋" w:cs="仿宋"/>
                <w:szCs w:val="21"/>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《湖南省重污染天气防治若干规定》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第八条第二款</w:t>
            </w:r>
            <w:r>
              <w:rPr>
                <w:rFonts w:ascii="仿宋" w:hAnsi="仿宋" w:eastAsia="仿宋" w:cs="仿宋"/>
                <w:szCs w:val="21"/>
              </w:rPr>
              <w:t xml:space="preserve"> </w:t>
            </w:r>
            <w:r>
              <w:rPr>
                <w:rFonts w:hint="eastAsia" w:ascii="仿宋" w:hAnsi="仿宋" w:eastAsia="仿宋" w:cs="仿宋"/>
                <w:szCs w:val="21"/>
              </w:rPr>
              <w:t>县级以上人民政府生态环境主管部门可以会同公安机关交通管理部门，在不影响正常通行的情况下，通过遥感监测等技术手段对在道路上行驶的机动车的污染物排放情况进行监督抽测。</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大气科（机动车尾气中心）、支队及各分局承担相应职责的机构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在用机动车</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重点检查重型柴油货车</w:t>
            </w:r>
            <w:r>
              <w:rPr>
                <w:rFonts w:ascii="仿宋" w:hAnsi="仿宋" w:eastAsia="仿宋" w:cs="仿宋"/>
                <w:szCs w:val="21"/>
              </w:rPr>
              <w:t>OBD</w:t>
            </w:r>
            <w:r>
              <w:rPr>
                <w:rFonts w:hint="eastAsia" w:ascii="仿宋" w:hAnsi="仿宋" w:eastAsia="仿宋" w:cs="仿宋"/>
                <w:szCs w:val="21"/>
              </w:rPr>
              <w:t>屏蔽、刷机、尾气后处理装置簒改、不规范使用尿素以及尾气抽测等</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788"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ascii="仿宋" w:hAnsi="仿宋" w:eastAsia="仿宋" w:cs="仿宋"/>
                <w:szCs w:val="21"/>
              </w:rPr>
              <w:t>15</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对重点排放单位等交易主体、技术服务机构的行政检查</w:t>
            </w:r>
          </w:p>
        </w:tc>
        <w:tc>
          <w:tcPr>
            <w:tcW w:w="400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b/>
                <w:bCs/>
                <w:szCs w:val="21"/>
              </w:rPr>
              <w:t>《碳排放权交易管理暂行条例》</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第四条第二款</w:t>
            </w:r>
            <w:r>
              <w:rPr>
                <w:rFonts w:ascii="仿宋" w:hAnsi="仿宋" w:eastAsia="仿宋" w:cs="仿宋"/>
                <w:szCs w:val="21"/>
              </w:rPr>
              <w:t xml:space="preserve"> </w:t>
            </w:r>
            <w:r>
              <w:rPr>
                <w:rFonts w:hint="eastAsia" w:ascii="仿宋" w:hAnsi="仿宋" w:eastAsia="仿宋" w:cs="仿宋"/>
                <w:szCs w:val="21"/>
              </w:rPr>
              <w:t>地方人民政府生态环境主管部门负责本行政区域内碳排放权交易及相关活动的监督管理工作。地方人民政府有关部门按照职责分工，负责本行政区域内碳排放权交易及相关活动的有关监督管理工作。</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第十七条</w:t>
            </w:r>
            <w:r>
              <w:rPr>
                <w:rFonts w:ascii="仿宋" w:hAnsi="仿宋" w:eastAsia="仿宋" w:cs="仿宋"/>
                <w:szCs w:val="21"/>
              </w:rPr>
              <w:t xml:space="preserve">  </w:t>
            </w:r>
            <w:r>
              <w:rPr>
                <w:rFonts w:hint="eastAsia" w:ascii="仿宋" w:hAnsi="仿宋" w:eastAsia="仿宋" w:cs="仿宋"/>
                <w:szCs w:val="21"/>
              </w:rPr>
              <w:t>生态环境主管部门和其他负有监督管理职责的部门，可以在各自职责范围内对重点排放单位等交易主体、技术服务机构进行现场检查。</w:t>
            </w:r>
          </w:p>
          <w:p>
            <w:pPr>
              <w:widowControl w:val="0"/>
              <w:overflowPunct w:val="0"/>
              <w:topLinePunct/>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pPr>
              <w:widowControl w:val="0"/>
              <w:overflowPunct w:val="0"/>
              <w:topLinePunct/>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szCs w:val="21"/>
              </w:rPr>
              <w:t>进行现场检查，检查人员不得少于</w:t>
            </w:r>
            <w:r>
              <w:rPr>
                <w:rFonts w:ascii="仿宋" w:hAnsi="仿宋" w:eastAsia="仿宋" w:cs="仿宋"/>
                <w:szCs w:val="21"/>
              </w:rPr>
              <w:t>2</w:t>
            </w:r>
            <w:r>
              <w:rPr>
                <w:rFonts w:hint="eastAsia" w:ascii="仿宋" w:hAnsi="仿宋" w:eastAsia="仿宋" w:cs="仿宋"/>
                <w:szCs w:val="21"/>
              </w:rPr>
              <w:t>人，并应当出示执法证件。检查人员对检查中知悉的国家秘密、商业秘密，依法负有保密义务。</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重点排放单位等交易主体、技术服务机构（企业）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碳排放权交易及相关活动</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16</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对消耗臭氧层物质的生产、销售、使用和进出口等活动的行政检查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《消耗臭氧层物质管理条例》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生态环境主管部门和其他有关部门，依照本条例的规定和各自的职责对消耗臭氧层物质的生产、销售、使用和进出口等活动进行监督检查。</w:t>
            </w:r>
          </w:p>
          <w:p>
            <w:pPr>
              <w:widowControl w:val="0"/>
              <w:tabs>
                <w:tab w:val="center" w:pos="4153"/>
                <w:tab w:val="right" w:pos="8306"/>
              </w:tabs>
              <w:adjustRightInd w:val="0"/>
              <w:snapToGrid w:val="0"/>
              <w:spacing w:line="300" w:lineRule="exact"/>
              <w:rPr>
                <w:rFonts w:ascii="仿宋" w:hAnsi="仿宋" w:eastAsia="仿宋" w:cs="仿宋"/>
                <w:b/>
                <w:szCs w:val="21"/>
              </w:rPr>
            </w:pPr>
            <w:r>
              <w:rPr>
                <w:rFonts w:ascii="仿宋" w:hAnsi="仿宋" w:eastAsia="仿宋" w:cs="仿宋"/>
                <w:b/>
                <w:szCs w:val="21"/>
              </w:rPr>
              <w:t>2.</w:t>
            </w:r>
            <w:r>
              <w:rPr>
                <w:rFonts w:hint="eastAsia" w:ascii="仿宋" w:hAnsi="仿宋" w:eastAsia="仿宋" w:cs="仿宋"/>
                <w:b/>
                <w:szCs w:val="21"/>
              </w:rPr>
              <w:t>《消耗臭氧层物质进出口管理办法》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bCs/>
                <w:szCs w:val="21"/>
              </w:rPr>
              <w:t>第十九条</w:t>
            </w:r>
            <w:r>
              <w:rPr>
                <w:rFonts w:ascii="仿宋" w:hAnsi="仿宋" w:eastAsia="仿宋" w:cs="仿宋"/>
                <w:bCs/>
                <w:szCs w:val="21"/>
              </w:rPr>
              <w:t xml:space="preserve"> </w:t>
            </w:r>
            <w:r>
              <w:rPr>
                <w:rFonts w:hint="eastAsia" w:ascii="仿宋" w:hAnsi="仿宋" w:eastAsia="仿宋" w:cs="仿宋"/>
                <w:bCs/>
                <w:szCs w:val="21"/>
              </w:rPr>
              <w:t>县级以上环境保护主管部门、商务主管部门、海关等有关部门有权依法对进出口单位的消耗臭氧层物质进出口活动进行监督检查。被检查单位必须如实反映情况，提供必要资料，不得拒绝和阻碍。检查部门对监督检查中知悉的商业秘密负有保密义务。</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大气科、支队及各分局承担相应职责的机构</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szCs w:val="21"/>
              </w:rPr>
              <w:t>消耗臭氧层物质的生产、销售、使用和进出口等的企业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消耗臭氧层物质的生产、销售、使用和进出口等活动</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17</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对已登记的温室气体自愿减排项目与核证自愿减排量的真实性、合规性的行政检查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b/>
                <w:bCs/>
                <w:szCs w:val="21"/>
              </w:rPr>
              <w:t>《温室气体自愿减排交易管理办法（试行）》</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第五条</w:t>
            </w:r>
            <w:r>
              <w:rPr>
                <w:rFonts w:ascii="仿宋" w:hAnsi="仿宋" w:eastAsia="仿宋" w:cs="仿宋"/>
                <w:szCs w:val="21"/>
              </w:rPr>
              <w:t xml:space="preserve"> </w:t>
            </w:r>
            <w:r>
              <w:rPr>
                <w:rFonts w:hint="eastAsia" w:ascii="仿宋" w:hAnsi="仿宋" w:eastAsia="仿宋" w:cs="仿宋"/>
                <w:szCs w:val="21"/>
              </w:rPr>
              <w:t>省级生态环境主管部门负责对本行政区域内温室气体自愿减排交易及相关活动进行监督管理。</w:t>
            </w:r>
          </w:p>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　　设区的市级生态环境主管部门配合省级生态环境主管部门对本行政区域内温室气体自愿减排交易及相关活动实施监督管理。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市场监管部门、生态环境主管部门根据职责分工，对从事温室气体自愿减排项目审定与减排量核查的机构（以下简称审定与核查机构）及其审定与核查活动进行监督管理。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第三十四条</w:t>
            </w:r>
            <w:r>
              <w:rPr>
                <w:rFonts w:ascii="仿宋" w:hAnsi="仿宋" w:eastAsia="仿宋" w:cs="仿宋"/>
                <w:szCs w:val="21"/>
              </w:rPr>
              <w:t xml:space="preserve"> </w:t>
            </w:r>
            <w:r>
              <w:rPr>
                <w:rFonts w:hint="eastAsia" w:ascii="仿宋" w:hAnsi="仿宋" w:eastAsia="仿宋" w:cs="仿宋"/>
                <w:szCs w:val="21"/>
              </w:rPr>
              <w:t>生态环境部负责指导督促地方对温室气体自愿减排交易及相关活动开展监督检查，查处具有典型意义和重大社会影响的违法行为。</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设区的市级生态环境主管部门按照省级生态环境主管部门的统一部署配合开展现场检查。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省级以上生态环境主管部门可以通过政府购买服务等方式，委托依法成立的技术服务机构提供监督检查方面的技术支撑。</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大气科、支队</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szCs w:val="21"/>
              </w:rPr>
              <w:t>申请温室气体自愿减排项目登记的法人或者其他组织（经营主体）</w:t>
            </w:r>
          </w:p>
          <w:p>
            <w:pPr>
              <w:widowControl w:val="0"/>
              <w:overflowPunct w:val="0"/>
              <w:topLinePunct/>
              <w:adjustRightInd w:val="0"/>
              <w:snapToGrid w:val="0"/>
              <w:spacing w:line="300" w:lineRule="exact"/>
              <w:rPr>
                <w:rFonts w:ascii="仿宋" w:hAnsi="仿宋" w:eastAsia="仿宋" w:cs="仿宋"/>
                <w:szCs w:val="21"/>
              </w:rPr>
            </w:pP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温室气体自愿减排交易及相关活动</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4"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18</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对重点排放单位温室气体排放和碳排放配额清缴情况的行政检查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b/>
                <w:bCs/>
                <w:szCs w:val="21"/>
              </w:rPr>
              <w:t>《碳排放权交易管理办法（试行）》</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第六条第二款</w:t>
            </w:r>
            <w:r>
              <w:rPr>
                <w:rFonts w:ascii="仿宋" w:hAnsi="仿宋" w:eastAsia="仿宋" w:cs="仿宋"/>
                <w:szCs w:val="21"/>
              </w:rPr>
              <w:t xml:space="preserve"> </w:t>
            </w:r>
            <w:r>
              <w:rPr>
                <w:rFonts w:hint="eastAsia" w:ascii="仿宋" w:hAnsi="仿宋" w:eastAsia="仿宋" w:cs="仿宋"/>
                <w:szCs w:val="21"/>
              </w:rPr>
              <w:t>设区的市级生态环境主管部门负责配合省级生态环境主管部门落实相关具体工作，并根据本办法有关规定实施监督管理。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第三十一条</w:t>
            </w:r>
            <w:r>
              <w:rPr>
                <w:rFonts w:ascii="仿宋" w:hAnsi="仿宋" w:eastAsia="仿宋" w:cs="仿宋"/>
                <w:szCs w:val="21"/>
              </w:rPr>
              <w:t xml:space="preserve"> </w:t>
            </w:r>
            <w:r>
              <w:rPr>
                <w:rFonts w:hint="eastAsia" w:ascii="仿宋" w:hAnsi="仿宋" w:eastAsia="仿宋" w:cs="仿宋"/>
                <w:szCs w:val="21"/>
              </w:rPr>
              <w:t>设区的市级以上地方生态环境主管部门根据对重点排放单位温室气体排放报告的核查结果，确定监督检查重点和频次。</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设区的市级以上地方生态环境主管部门应当采取“双随机、一公开”的方式，监督检查重点排放单位温室气体排放和碳排放配额清缴情况，相关情况按程序报生态环境部。</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大气科、支队</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温室气体和碳重点排放企业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温室气体排放和碳排放配额清缴情况</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19</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kern w:val="0"/>
                <w:szCs w:val="21"/>
              </w:rPr>
              <w:t>对从事可能造成土壤污染活动的企业事业单位和其他生产经营者进行的行政检查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kern w:val="0"/>
                <w:szCs w:val="21"/>
              </w:rPr>
            </w:pPr>
            <w:r>
              <w:rPr>
                <w:rFonts w:ascii="仿宋" w:hAnsi="仿宋" w:eastAsia="仿宋" w:cs="仿宋"/>
                <w:b/>
                <w:bCs/>
                <w:kern w:val="0"/>
                <w:szCs w:val="21"/>
              </w:rPr>
              <w:t>1.</w:t>
            </w:r>
            <w:r>
              <w:rPr>
                <w:rFonts w:hint="eastAsia" w:ascii="仿宋" w:hAnsi="仿宋" w:eastAsia="仿宋" w:cs="仿宋"/>
                <w:b/>
                <w:bCs/>
                <w:kern w:val="0"/>
                <w:szCs w:val="21"/>
              </w:rPr>
              <w:t>《中华人民共和国土壤污染防治法》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第七十七条</w:t>
            </w:r>
            <w:r>
              <w:rPr>
                <w:rFonts w:ascii="仿宋" w:hAnsi="仿宋" w:eastAsia="仿宋" w:cs="仿宋"/>
                <w:kern w:val="0"/>
                <w:szCs w:val="21"/>
              </w:rPr>
              <w:t xml:space="preserve"> </w:t>
            </w:r>
            <w:r>
              <w:rPr>
                <w:rFonts w:hint="eastAsia" w:ascii="仿宋" w:hAnsi="仿宋" w:eastAsia="仿宋" w:cs="仿宋"/>
                <w:kern w:val="0"/>
                <w:szCs w:val="21"/>
              </w:rPr>
              <w:t>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被检查者应当配合检查工作，如实反映情况，提供必要的资料。</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实施现场检查的部门、机构及其工作人员应当为被检查者保守商业秘密。</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widowControl w:val="0"/>
              <w:tabs>
                <w:tab w:val="center" w:pos="4153"/>
                <w:tab w:val="right" w:pos="8306"/>
              </w:tabs>
              <w:adjustRightInd w:val="0"/>
              <w:snapToGrid w:val="0"/>
              <w:spacing w:line="300" w:lineRule="exact"/>
              <w:rPr>
                <w:rFonts w:ascii="仿宋" w:hAnsi="仿宋" w:eastAsia="仿宋" w:cs="仿宋"/>
                <w:b/>
                <w:bCs/>
                <w:szCs w:val="21"/>
                <w:lang w:val="zh-CN"/>
              </w:rPr>
            </w:pPr>
            <w:r>
              <w:rPr>
                <w:rFonts w:ascii="仿宋" w:hAnsi="仿宋" w:eastAsia="仿宋" w:cs="仿宋"/>
                <w:b/>
                <w:bCs/>
                <w:szCs w:val="21"/>
              </w:rPr>
              <w:t>2.</w:t>
            </w:r>
            <w:r>
              <w:rPr>
                <w:rFonts w:hint="eastAsia" w:ascii="仿宋" w:hAnsi="仿宋" w:eastAsia="仿宋" w:cs="仿宋"/>
                <w:b/>
                <w:bCs/>
                <w:szCs w:val="21"/>
                <w:lang w:val="zh-CN"/>
              </w:rPr>
              <w:t>《工矿用地土壤环境管理办法（试行）》</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lang w:val="zh-CN"/>
              </w:rPr>
              <w:t>第十七条</w:t>
            </w:r>
            <w:r>
              <w:rPr>
                <w:rFonts w:ascii="仿宋" w:hAnsi="仿宋" w:eastAsia="仿宋" w:cs="仿宋"/>
                <w:szCs w:val="21"/>
              </w:rPr>
              <w:t xml:space="preserve"> </w:t>
            </w:r>
            <w:r>
              <w:rPr>
                <w:rFonts w:hint="eastAsia" w:ascii="仿宋" w:hAnsi="仿宋" w:eastAsia="仿宋" w:cs="仿宋"/>
                <w:szCs w:val="21"/>
              </w:rPr>
              <w:t>县级以上生态环境主管部门有权对本行政区域内的重点单位进行现场检查。被检查单位应当予以配合，如实反映情况，提供必要的资料。实施现场检查的部门、机构及其工作人员应当为被检查单位保守商业秘密。</w:t>
            </w:r>
          </w:p>
          <w:p>
            <w:pPr>
              <w:widowControl w:val="0"/>
              <w:tabs>
                <w:tab w:val="center" w:pos="4153"/>
                <w:tab w:val="right" w:pos="8306"/>
              </w:tabs>
              <w:adjustRightInd w:val="0"/>
              <w:snapToGrid w:val="0"/>
              <w:spacing w:line="300" w:lineRule="exact"/>
              <w:rPr>
                <w:rFonts w:ascii="仿宋" w:hAnsi="仿宋" w:eastAsia="仿宋" w:cs="仿宋"/>
                <w:b/>
                <w:bCs/>
                <w:szCs w:val="21"/>
                <w:lang w:val="zh-CN"/>
              </w:rPr>
            </w:pPr>
            <w:r>
              <w:rPr>
                <w:rFonts w:ascii="仿宋" w:hAnsi="仿宋" w:eastAsia="仿宋" w:cs="仿宋"/>
                <w:b/>
                <w:bCs/>
                <w:szCs w:val="21"/>
              </w:rPr>
              <w:t>3.</w:t>
            </w:r>
            <w:r>
              <w:rPr>
                <w:rFonts w:hint="eastAsia" w:ascii="仿宋" w:hAnsi="仿宋" w:eastAsia="仿宋" w:cs="仿宋"/>
                <w:b/>
                <w:bCs/>
                <w:szCs w:val="21"/>
                <w:lang w:val="zh-CN"/>
              </w:rPr>
              <w:t>《农用地土壤环境管理办法（试行）》</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lang w:val="zh-CN"/>
              </w:rPr>
              <w:t>第二十三条</w:t>
            </w:r>
            <w:r>
              <w:rPr>
                <w:rFonts w:hint="eastAsia" w:ascii="仿宋" w:hAnsi="仿宋" w:eastAsia="仿宋" w:cs="仿宋"/>
                <w:szCs w:val="21"/>
              </w:rPr>
              <w:t>第一款</w:t>
            </w:r>
            <w:r>
              <w:rPr>
                <w:rFonts w:ascii="仿宋" w:hAnsi="仿宋" w:eastAsia="仿宋" w:cs="仿宋"/>
                <w:szCs w:val="21"/>
              </w:rPr>
              <w:t xml:space="preserve"> </w:t>
            </w:r>
            <w:r>
              <w:rPr>
                <w:rFonts w:hint="eastAsia" w:ascii="仿宋" w:hAnsi="仿宋" w:eastAsia="仿宋" w:cs="仿宋"/>
                <w:szCs w:val="21"/>
              </w:rPr>
              <w:t>县级以上地方环境保护主管部门应当对农用地土壤污染治理与修复的环境保护措施落实情况进行监督检查。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第二十七条</w:t>
            </w:r>
            <w:r>
              <w:rPr>
                <w:rFonts w:ascii="仿宋" w:hAnsi="仿宋" w:eastAsia="仿宋" w:cs="仿宋"/>
                <w:szCs w:val="21"/>
              </w:rPr>
              <w:t xml:space="preserve"> </w:t>
            </w:r>
            <w:r>
              <w:rPr>
                <w:rFonts w:hint="eastAsia" w:ascii="仿宋" w:hAnsi="仿宋" w:eastAsia="仿宋" w:cs="仿宋"/>
                <w:szCs w:val="21"/>
              </w:rPr>
              <w:t>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pPr>
              <w:widowControl w:val="0"/>
              <w:tabs>
                <w:tab w:val="center" w:pos="4153"/>
                <w:tab w:val="right" w:pos="8306"/>
              </w:tabs>
              <w:adjustRightInd w:val="0"/>
              <w:snapToGrid w:val="0"/>
              <w:spacing w:line="300" w:lineRule="exact"/>
              <w:rPr>
                <w:rFonts w:ascii="仿宋" w:hAnsi="仿宋" w:eastAsia="仿宋" w:cs="仿宋"/>
                <w:b/>
                <w:bCs/>
                <w:szCs w:val="21"/>
                <w:lang w:val="zh-CN"/>
              </w:rPr>
            </w:pPr>
            <w:r>
              <w:rPr>
                <w:rFonts w:ascii="仿宋" w:hAnsi="仿宋" w:eastAsia="仿宋" w:cs="仿宋"/>
                <w:b/>
                <w:bCs/>
                <w:szCs w:val="21"/>
              </w:rPr>
              <w:t>4.</w:t>
            </w:r>
            <w:r>
              <w:rPr>
                <w:rFonts w:hint="eastAsia" w:ascii="仿宋" w:hAnsi="仿宋" w:eastAsia="仿宋" w:cs="仿宋"/>
                <w:b/>
                <w:bCs/>
                <w:szCs w:val="21"/>
                <w:lang w:val="zh-CN"/>
              </w:rPr>
              <w:t>《污染地块土壤环境管理办法（试行）》</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r>
              <w:rPr>
                <w:rFonts w:hint="eastAsia" w:ascii="仿宋" w:hAnsi="仿宋" w:eastAsia="仿宋" w:cs="仿宋"/>
                <w:szCs w:val="21"/>
                <w:lang w:val="zh-CN"/>
              </w:rPr>
              <w:t>第二十九条</w:t>
            </w:r>
            <w:r>
              <w:rPr>
                <w:rFonts w:ascii="仿宋" w:hAnsi="仿宋" w:eastAsia="仿宋" w:cs="仿宋"/>
                <w:szCs w:val="21"/>
              </w:rPr>
              <w:t xml:space="preserve"> </w:t>
            </w:r>
            <w:r>
              <w:rPr>
                <w:rFonts w:hint="eastAsia" w:ascii="仿宋" w:hAnsi="仿宋" w:eastAsia="仿宋" w:cs="仿宋"/>
                <w:szCs w:val="21"/>
              </w:rPr>
              <w:t>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土科、支队及各分局承担相应职责的机构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土壤污染重点监管单位</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安全利用类及严格管控类农用地</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曾从事相关行业企业的疑似污染地块和污染地块</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企业自行监测情况</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土壤污染隐患排查情况</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安全利用类和严格管控类农用地落实风险管控措施等情况</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疑似污染地块和污染地块落实调查、风险评评估、风险管控及修复措施等情况</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20</w:t>
            </w:r>
          </w:p>
        </w:tc>
        <w:tc>
          <w:tcPr>
            <w:tcW w:w="1723" w:type="dxa"/>
            <w:vAlign w:val="center"/>
          </w:tcPr>
          <w:p>
            <w:pPr>
              <w:widowControl w:val="0"/>
              <w:overflowPunct w:val="0"/>
              <w:topLinePunct/>
              <w:adjustRightInd w:val="0"/>
              <w:snapToGrid w:val="0"/>
              <w:spacing w:line="300" w:lineRule="exact"/>
              <w:rPr>
                <w:rFonts w:ascii="仿宋" w:hAnsi="仿宋" w:eastAsia="仿宋" w:cs="仿宋"/>
                <w:bCs/>
                <w:szCs w:val="21"/>
              </w:rPr>
            </w:pPr>
            <w:r>
              <w:rPr>
                <w:rFonts w:hint="eastAsia" w:ascii="仿宋" w:hAnsi="仿宋" w:eastAsia="仿宋" w:cs="仿宋"/>
                <w:szCs w:val="21"/>
              </w:rPr>
              <w:t>对农田灌溉用水水质的监督检查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《中华人民共和国土壤污染防治法》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r>
              <w:rPr>
                <w:rFonts w:hint="eastAsia" w:ascii="仿宋" w:hAnsi="仿宋" w:eastAsia="仿宋" w:cs="仿宋"/>
                <w:szCs w:val="21"/>
              </w:rPr>
              <w:t>第二十八条第三款</w:t>
            </w:r>
            <w:r>
              <w:rPr>
                <w:rFonts w:ascii="仿宋" w:hAnsi="仿宋" w:eastAsia="仿宋" w:cs="仿宋"/>
                <w:szCs w:val="21"/>
              </w:rPr>
              <w:t xml:space="preserve"> </w:t>
            </w:r>
            <w:r>
              <w:rPr>
                <w:rFonts w:hint="eastAsia" w:ascii="仿宋" w:hAnsi="仿宋" w:eastAsia="仿宋" w:cs="仿宋"/>
                <w:szCs w:val="21"/>
              </w:rPr>
              <w:t>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573" w:type="dxa"/>
            <w:vAlign w:val="center"/>
          </w:tcPr>
          <w:p>
            <w:pPr>
              <w:widowControl w:val="0"/>
              <w:overflowPunct w:val="0"/>
              <w:topLinePunct/>
              <w:adjustRightInd w:val="0"/>
              <w:snapToGrid w:val="0"/>
              <w:spacing w:line="300" w:lineRule="exact"/>
              <w:rPr>
                <w:rFonts w:ascii="仿宋" w:hAnsi="仿宋" w:eastAsia="仿宋" w:cs="仿宋"/>
                <w:bCs/>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土科、监测科、支队及各分局承担相应行政检查职责的机构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有关种植大户和企业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不定期对农田灌溉用水水质进行抽样检测。</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r>
              <w:rPr>
                <w:rFonts w:hint="eastAsia" w:ascii="仿宋" w:hAnsi="仿宋" w:eastAsia="仿宋" w:cs="仿宋"/>
                <w:bCs/>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21</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对从事地下水节约、保护、利用活动的单位和个人的行政检查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《地下水管理条例》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第五十三条</w:t>
            </w:r>
            <w:r>
              <w:rPr>
                <w:rFonts w:ascii="仿宋" w:hAnsi="仿宋" w:eastAsia="仿宋" w:cs="仿宋"/>
                <w:szCs w:val="21"/>
              </w:rPr>
              <w:t xml:space="preserve"> </w:t>
            </w:r>
            <w:r>
              <w:rPr>
                <w:rFonts w:hint="eastAsia" w:ascii="仿宋" w:hAnsi="仿宋" w:eastAsia="仿宋" w:cs="仿宋"/>
                <w:szCs w:val="21"/>
              </w:rPr>
              <w:t>县级以上人民政府水行政、生态环境等主管部门应当建立从事地下水节约、保护、利用活动的单位和个人的诚信档案，记录日常监督检查结果、违法行为查处等情况，并依法向社会公示。</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土科、支队及各分局承担相应职责的机构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从事地下水节约、保护、利用活动的经营主体</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配合开展日常监督检查，对违法行为进行查处。</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r>
              <w:rPr>
                <w:rFonts w:hint="eastAsia" w:ascii="仿宋" w:hAnsi="仿宋" w:eastAsia="仿宋" w:cs="仿宋"/>
                <w:bCs/>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22</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kern w:val="0"/>
                <w:szCs w:val="21"/>
              </w:rPr>
              <w:t>对产生、收集、贮存、转移（运输）、利用、处置固体废物、危险废物的单位和其他生产经营者的行政检查（涉及行政许可检查除外）</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《中华人民共和国固体废物污染环境防治法》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第二十六条</w:t>
            </w:r>
            <w:r>
              <w:rPr>
                <w:rFonts w:ascii="仿宋" w:hAnsi="仿宋" w:eastAsia="仿宋" w:cs="仿宋"/>
                <w:szCs w:val="21"/>
              </w:rPr>
              <w:t xml:space="preserve"> </w:t>
            </w:r>
            <w:r>
              <w:rPr>
                <w:rFonts w:hint="eastAsia" w:ascii="仿宋" w:hAnsi="仿宋" w:eastAsia="仿宋" w:cs="仿宋"/>
                <w:szCs w:val="21"/>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实施现场检查，可以采取现场监测、采集样品、查阅或者复制与固体废物污染环境防治相关的资料等措施。检查人员进行现场检查，应当出示证件。对现场检查中知悉的商业秘密应当保密。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第八十五条</w:t>
            </w:r>
            <w:r>
              <w:rPr>
                <w:rFonts w:ascii="仿宋" w:hAnsi="仿宋" w:eastAsia="仿宋" w:cs="仿宋"/>
                <w:szCs w:val="21"/>
              </w:rPr>
              <w:t xml:space="preserve"> </w:t>
            </w:r>
            <w:r>
              <w:rPr>
                <w:rFonts w:hint="eastAsia" w:ascii="仿宋" w:hAnsi="仿宋" w:eastAsia="仿宋" w:cs="仿宋"/>
                <w:szCs w:val="21"/>
              </w:rPr>
              <w:t>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《危险化学品安全管理条例》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第六条第一款第（四）项</w:t>
            </w:r>
            <w:r>
              <w:rPr>
                <w:rFonts w:ascii="仿宋" w:hAnsi="仿宋" w:eastAsia="仿宋" w:cs="仿宋"/>
                <w:szCs w:val="21"/>
              </w:rPr>
              <w:t xml:space="preserve"> </w:t>
            </w:r>
            <w:r>
              <w:rPr>
                <w:rFonts w:hint="eastAsia" w:ascii="仿宋" w:hAnsi="仿宋" w:eastAsia="仿宋" w:cs="仿宋"/>
                <w:szCs w:val="21"/>
              </w:rPr>
              <w:t>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3.</w:t>
            </w:r>
            <w:r>
              <w:rPr>
                <w:rFonts w:hint="eastAsia" w:ascii="仿宋" w:hAnsi="仿宋" w:eastAsia="仿宋" w:cs="仿宋"/>
                <w:b/>
                <w:bCs/>
                <w:szCs w:val="21"/>
              </w:rPr>
              <w:t>《危险废物转移管理办法》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第四条</w:t>
            </w:r>
            <w:r>
              <w:rPr>
                <w:rFonts w:ascii="仿宋" w:hAnsi="仿宋" w:eastAsia="仿宋" w:cs="仿宋"/>
                <w:szCs w:val="21"/>
              </w:rPr>
              <w:t xml:space="preserve"> </w:t>
            </w:r>
            <w:r>
              <w:rPr>
                <w:rFonts w:hint="eastAsia" w:ascii="仿宋" w:hAnsi="仿宋" w:eastAsia="仿宋" w:cs="仿宋"/>
                <w:szCs w:val="21"/>
              </w:rPr>
              <w:t>生态环境主管部门依法对危险废物转移污染环境防治工作以及危险废物转移联单运行实施监督管理，查处危险废物污染环境违法行为。</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ascii="仿宋" w:hAnsi="仿宋" w:eastAsia="仿宋" w:cs="仿宋"/>
                <w:szCs w:val="21"/>
              </w:rPr>
              <w:t>......</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4.</w:t>
            </w:r>
            <w:r>
              <w:rPr>
                <w:rFonts w:hint="eastAsia" w:ascii="仿宋" w:hAnsi="仿宋" w:eastAsia="仿宋" w:cs="仿宋"/>
                <w:b/>
                <w:bCs/>
                <w:szCs w:val="21"/>
              </w:rPr>
              <w:t>《危险废物经营许可证管理办法》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第十七条</w:t>
            </w:r>
            <w:r>
              <w:rPr>
                <w:rFonts w:ascii="仿宋" w:hAnsi="仿宋" w:eastAsia="仿宋" w:cs="仿宋"/>
                <w:szCs w:val="21"/>
              </w:rPr>
              <w:t xml:space="preserve"> </w:t>
            </w:r>
            <w:r>
              <w:rPr>
                <w:rFonts w:hint="eastAsia" w:ascii="仿宋" w:hAnsi="仿宋" w:eastAsia="仿宋" w:cs="仿宋"/>
                <w:szCs w:val="21"/>
              </w:rPr>
              <w:t>县级以上人民政府环境保护主管部门应当通过书面核查和实地检查等方式，加强对危险废物经营单位的监督检查，并将监督检查情况和处理结果予以记录，由监督检查人员签字后归档。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公众有权查阅县级以上人民政府环境保护主管部门的监督检查记录。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县级以上人民政府环境保护主管部门发现危险废物经营单位在经营活动中有不符合原发证条件的情形的，应当责令其限期整改。</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5.</w:t>
            </w:r>
            <w:r>
              <w:rPr>
                <w:rFonts w:hint="eastAsia" w:ascii="仿宋" w:hAnsi="仿宋" w:eastAsia="仿宋" w:cs="仿宋"/>
                <w:b/>
                <w:bCs/>
                <w:szCs w:val="21"/>
              </w:rPr>
              <w:t>《湖南省实施</w:t>
            </w:r>
            <w:r>
              <w:rPr>
                <w:rFonts w:ascii="仿宋" w:hAnsi="仿宋" w:eastAsia="仿宋" w:cs="仿宋"/>
                <w:b/>
                <w:bCs/>
                <w:szCs w:val="21"/>
              </w:rPr>
              <w:t xml:space="preserve"> &lt;</w:t>
            </w:r>
            <w:r>
              <w:rPr>
                <w:rFonts w:hint="eastAsia" w:ascii="仿宋" w:hAnsi="仿宋" w:eastAsia="仿宋" w:cs="仿宋"/>
                <w:b/>
                <w:bCs/>
                <w:szCs w:val="21"/>
              </w:rPr>
              <w:t>中华人民共和国固体废物污染环境防治法</w:t>
            </w:r>
            <w:r>
              <w:rPr>
                <w:rFonts w:ascii="仿宋" w:hAnsi="仿宋" w:eastAsia="仿宋" w:cs="仿宋"/>
                <w:b/>
                <w:bCs/>
                <w:szCs w:val="21"/>
              </w:rPr>
              <w:t>&gt;</w:t>
            </w:r>
            <w:r>
              <w:rPr>
                <w:rFonts w:hint="eastAsia" w:ascii="仿宋" w:hAnsi="仿宋" w:eastAsia="仿宋" w:cs="仿宋"/>
                <w:b/>
                <w:bCs/>
                <w:szCs w:val="21"/>
              </w:rPr>
              <w:t>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　生态环境主管部门对本行政区域内固体废物污染环境防治实施统一监督管理。</w:t>
            </w:r>
          </w:p>
          <w:p>
            <w:pPr>
              <w:widowControl w:val="0"/>
              <w:tabs>
                <w:tab w:val="center" w:pos="4153"/>
                <w:tab w:val="right" w:pos="8306"/>
              </w:tabs>
              <w:adjustRightInd w:val="0"/>
              <w:snapToGrid w:val="0"/>
              <w:spacing w:line="300" w:lineRule="exact"/>
              <w:rPr>
                <w:rFonts w:ascii="仿宋" w:hAnsi="仿宋" w:eastAsia="仿宋" w:cs="仿宋"/>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固废科、支队及各分局承担相应职责的机构</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kern w:val="0"/>
                <w:szCs w:val="21"/>
              </w:rPr>
              <w:t>危险废物产生、收集、贮存、转移（运输）、利用、处置固体废物、危险废物的企业和其他经营者</w:t>
            </w:r>
          </w:p>
        </w:tc>
        <w:tc>
          <w:tcPr>
            <w:tcW w:w="1370"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kern w:val="0"/>
                <w:szCs w:val="21"/>
              </w:rPr>
              <w:t>1.</w:t>
            </w:r>
            <w:r>
              <w:rPr>
                <w:rFonts w:hint="eastAsia" w:ascii="仿宋" w:hAnsi="仿宋" w:eastAsia="仿宋" w:cs="仿宋"/>
                <w:kern w:val="0"/>
                <w:szCs w:val="21"/>
              </w:rPr>
              <w:t>对</w:t>
            </w:r>
            <w:r>
              <w:rPr>
                <w:rFonts w:hint="eastAsia" w:ascii="仿宋" w:hAnsi="仿宋" w:eastAsia="仿宋" w:cs="仿宋"/>
                <w:szCs w:val="21"/>
              </w:rPr>
              <w:t>危险废物产生单位、经营单位开展规范化环境管理情况的监督检查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危险废物</w:t>
            </w:r>
            <w:r>
              <w:rPr>
                <w:rFonts w:hint="eastAsia" w:ascii="仿宋" w:hAnsi="仿宋" w:eastAsia="仿宋" w:cs="仿宋"/>
                <w:szCs w:val="21"/>
              </w:rPr>
              <w:t>收集、贮存、利用、处置等活动环境监管</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十四五”全国危险废物规范化环境管理评估工作方案》“（三）建立分级负责评估机制。危险废物规范化环境管理评估以省（区、市）组织开展为主。市级生态环境主管部门抽取产废单位和经营单位进行评估；省级生态环境主管部门对市级生态环境主管部门进行评估，抽取产废单位和经营单位进行评估。生态环境部抽取部分省（区、市）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23</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对废弃电器电子产品处理活动；对拆解、利用、处置电子废物单位的行政检查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《废弃电器电子产品回收处理管理条例》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第二十五条</w:t>
            </w:r>
            <w:r>
              <w:rPr>
                <w:rFonts w:ascii="仿宋" w:hAnsi="仿宋" w:eastAsia="仿宋" w:cs="仿宋"/>
                <w:szCs w:val="21"/>
              </w:rPr>
              <w:t xml:space="preserve"> </w:t>
            </w:r>
            <w:r>
              <w:rPr>
                <w:rFonts w:hint="eastAsia" w:ascii="仿宋" w:hAnsi="仿宋" w:eastAsia="仿宋" w:cs="仿宋"/>
                <w:szCs w:val="21"/>
              </w:rPr>
              <w:t>县级以上地方人民政府生态环境主管部门应当通过书面核查和实地检查等方式，加强对废弃电器电子产品处理活动的监督检查。</w:t>
            </w:r>
          </w:p>
          <w:p>
            <w:pPr>
              <w:widowControl w:val="0"/>
              <w:tabs>
                <w:tab w:val="center" w:pos="4153"/>
                <w:tab w:val="right" w:pos="8306"/>
              </w:tabs>
              <w:adjustRightInd w:val="0"/>
              <w:snapToGrid w:val="0"/>
              <w:spacing w:line="26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《电子废物污染环境防治管理办法》</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第十二条</w:t>
            </w:r>
            <w:r>
              <w:rPr>
                <w:rFonts w:ascii="仿宋" w:hAnsi="仿宋" w:eastAsia="仿宋" w:cs="仿宋"/>
                <w:szCs w:val="21"/>
              </w:rPr>
              <w:t xml:space="preserve"> </w:t>
            </w:r>
            <w:r>
              <w:rPr>
                <w:rFonts w:hint="eastAsia" w:ascii="仿宋" w:hAnsi="仿宋" w:eastAsia="仿宋" w:cs="仿宋"/>
                <w:szCs w:val="21"/>
              </w:rPr>
              <w:t>县级以上人民政府环境保护行政主管部门有权要求拆解、利用、处置电子废物的单位定期报告电子废物经营活动情况。</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县级以上人民政府环境保护行政主管部门应当通过书面核查和实地检查等方式进行监督检查，并将监督检查情况和处理结果予以记录，由监督检查人员签字后归档。监督抽查和监测一年不得少于一次。</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县级以上人民政府环境保护行政主管部门发现有不符合环境保护措施验收合格时条件、情节轻微的，可以责令限期整改；经及时整改并未造成危害后果的，可以不予处罚。</w:t>
            </w:r>
          </w:p>
          <w:p>
            <w:pPr>
              <w:widowControl w:val="0"/>
              <w:tabs>
                <w:tab w:val="center" w:pos="4153"/>
                <w:tab w:val="right" w:pos="8306"/>
              </w:tabs>
              <w:adjustRightInd w:val="0"/>
              <w:snapToGrid w:val="0"/>
              <w:spacing w:line="26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《废弃电器电子产品处理资格许可管理办法》</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第十八条</w:t>
            </w:r>
            <w:r>
              <w:rPr>
                <w:rFonts w:ascii="仿宋" w:hAnsi="仿宋" w:eastAsia="仿宋" w:cs="仿宋"/>
                <w:szCs w:val="21"/>
              </w:rPr>
              <w:t xml:space="preserve"> </w:t>
            </w:r>
            <w:r>
              <w:rPr>
                <w:rFonts w:hint="eastAsia" w:ascii="仿宋" w:hAnsi="仿宋" w:eastAsia="仿宋" w:cs="仿宋"/>
                <w:szCs w:val="21"/>
              </w:rPr>
              <w:t>县级以上地方人民政府环境保护主管部门应当通过书面核查和实地检查等方式，加强对废弃电器电子产品处理活动的监督检查，并将监督检查情况和处理结果予以记录，由监督检查人员签字后归档。</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lang w:val="zh-CN"/>
              </w:rPr>
            </w:pPr>
            <w:r>
              <w:rPr>
                <w:rFonts w:hint="eastAsia" w:ascii="仿宋" w:hAnsi="仿宋" w:eastAsia="仿宋" w:cs="仿宋"/>
                <w:szCs w:val="21"/>
              </w:rPr>
              <w:t>公众可以依法向县级以上地方人民政府环境保护主管部门申请公开监督检查的处理结果。</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kern w:val="0"/>
                <w:szCs w:val="21"/>
              </w:rPr>
              <w:t>废弃电器电子产品回收处理企业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kern w:val="0"/>
                <w:szCs w:val="21"/>
              </w:rPr>
              <w:t>对废弃电器电子产品处理活动的环境监管检查</w:t>
            </w:r>
          </w:p>
        </w:tc>
        <w:tc>
          <w:tcPr>
            <w:tcW w:w="1203" w:type="dxa"/>
            <w:vAlign w:val="center"/>
          </w:tcPr>
          <w:p>
            <w:pPr>
              <w:widowControl w:val="0"/>
              <w:overflowPunct w:val="0"/>
              <w:topLinePunct/>
              <w:adjustRightInd w:val="0"/>
              <w:snapToGrid w:val="0"/>
              <w:spacing w:line="300" w:lineRule="exact"/>
              <w:textAlignment w:val="auto"/>
              <w:rPr>
                <w:rFonts w:ascii="仿宋" w:hAnsi="仿宋" w:eastAsia="仿宋" w:cs="仿宋"/>
                <w:szCs w:val="21"/>
              </w:rPr>
            </w:pPr>
            <w:r>
              <w:rPr>
                <w:rFonts w:hint="eastAsia" w:ascii="仿宋" w:hAnsi="仿宋" w:eastAsia="仿宋" w:cs="仿宋"/>
                <w:kern w:val="0"/>
                <w:szCs w:val="21"/>
              </w:rPr>
              <w:t>现场检查和非现场检查相结合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24</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对医疗卫生机构和医疗废物集中处置单位环境污染防治工作的行政检查</w:t>
            </w:r>
          </w:p>
        </w:tc>
        <w:tc>
          <w:tcPr>
            <w:tcW w:w="4009" w:type="dxa"/>
            <w:vAlign w:val="center"/>
          </w:tcPr>
          <w:p>
            <w:pPr>
              <w:pStyle w:val="7"/>
              <w:shd w:val="clear" w:color="auto" w:fill="FFFFFF"/>
              <w:spacing w:before="150" w:beforeAutospacing="0" w:after="150" w:afterAutospacing="0" w:line="300" w:lineRule="exact"/>
              <w:jc w:val="both"/>
              <w:rPr>
                <w:rFonts w:ascii="仿宋" w:hAnsi="仿宋" w:eastAsia="仿宋" w:cs="仿宋"/>
                <w:b/>
                <w:bCs/>
                <w:kern w:val="2"/>
                <w:sz w:val="21"/>
                <w:szCs w:val="21"/>
              </w:rPr>
            </w:pPr>
            <w:r>
              <w:rPr>
                <w:rFonts w:ascii="仿宋" w:hAnsi="仿宋" w:eastAsia="仿宋" w:cs="仿宋"/>
                <w:b/>
                <w:bCs/>
                <w:kern w:val="2"/>
                <w:sz w:val="21"/>
                <w:szCs w:val="21"/>
              </w:rPr>
              <w:t>1.</w:t>
            </w:r>
            <w:r>
              <w:rPr>
                <w:rFonts w:hint="eastAsia" w:ascii="仿宋" w:hAnsi="仿宋" w:eastAsia="仿宋" w:cs="仿宋"/>
                <w:b/>
                <w:bCs/>
                <w:kern w:val="2"/>
                <w:sz w:val="21"/>
                <w:szCs w:val="21"/>
              </w:rPr>
              <w:t>《中华人民共和国固体废物污染环境防治法》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第九十条　</w:t>
            </w:r>
            <w:bookmarkStart w:id="0" w:name="No274_Z6T90K1"/>
            <w:bookmarkEnd w:id="0"/>
            <w:r>
              <w:rPr>
                <w:rFonts w:hint="eastAsia" w:ascii="仿宋" w:hAnsi="仿宋" w:eastAsia="仿宋" w:cs="仿宋"/>
                <w:szCs w:val="21"/>
              </w:rPr>
              <w:t>医疗废物按照国家危险废物名录管理。县级以上地方人民政府应当加强医疗废物集中处置能力建设。</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bookmarkStart w:id="1" w:name="No275_Z6T90K2"/>
            <w:bookmarkEnd w:id="1"/>
            <w:r>
              <w:rPr>
                <w:rFonts w:hint="eastAsia" w:ascii="仿宋" w:hAnsi="仿宋" w:eastAsia="仿宋" w:cs="仿宋"/>
                <w:szCs w:val="21"/>
              </w:rPr>
              <w:t>县级以上人民政府卫生健康、生态环境等主管部门应当在各自职责范围内加强对医疗废物收集、贮存、运输、处置的监督管理，防止危害公众健康、污染环境。</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bookmarkStart w:id="2" w:name="No276_Z6T90K3"/>
            <w:bookmarkEnd w:id="2"/>
            <w:r>
              <w:rPr>
                <w:rFonts w:hint="eastAsia" w:ascii="仿宋" w:hAnsi="仿宋" w:eastAsia="仿宋" w:cs="仿宋"/>
                <w:szCs w:val="21"/>
              </w:rPr>
              <w:t>医疗卫生机构应当依法分类收集本单位产生的医疗废物，交由医疗废物集中处置单位处置。医疗废物集中处置单位应当及时收集、运输和处置医疗废物。</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bookmarkStart w:id="3" w:name="No277_Z6T90K4"/>
            <w:bookmarkEnd w:id="3"/>
            <w:r>
              <w:rPr>
                <w:rFonts w:hint="eastAsia" w:ascii="仿宋" w:hAnsi="仿宋" w:eastAsia="仿宋" w:cs="仿宋"/>
                <w:szCs w:val="21"/>
              </w:rPr>
              <w:t>医疗卫生机构和医疗废物集中处置单位，应当采取有效措施，防止医疗废物流失、泄漏、渗漏、扩散。</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《医疗废物管理条例》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lang w:val="zh-CN"/>
              </w:rPr>
            </w:pPr>
            <w:r>
              <w:rPr>
                <w:rFonts w:hint="eastAsia" w:ascii="仿宋" w:hAnsi="仿宋" w:eastAsia="仿宋" w:cs="仿宋"/>
                <w:szCs w:val="21"/>
              </w:rPr>
              <w:t>第三十六条</w:t>
            </w:r>
            <w:r>
              <w:rPr>
                <w:rFonts w:ascii="仿宋" w:hAnsi="仿宋" w:eastAsia="仿宋" w:cs="仿宋"/>
                <w:szCs w:val="21"/>
              </w:rPr>
              <w:t xml:space="preserve"> </w:t>
            </w:r>
            <w:r>
              <w:rPr>
                <w:rFonts w:hint="eastAsia" w:ascii="仿宋" w:hAnsi="仿宋" w:eastAsia="仿宋" w:cs="仿宋"/>
                <w:szCs w:val="21"/>
              </w:rPr>
              <w:t>县级以上地方人民政府环境保护行政主管部门，应当对医疗卫生机构和医疗废物集中处置单位从事医疗废物收集、运送、贮存、处置中的环境污染防治工作进行定期监督检查或者不定期的抽查。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固废科、支队及各分局承担相应职责的机构</w:t>
            </w:r>
          </w:p>
        </w:tc>
        <w:tc>
          <w:tcPr>
            <w:tcW w:w="1246" w:type="dxa"/>
            <w:vAlign w:val="center"/>
          </w:tcPr>
          <w:p>
            <w:pPr>
              <w:widowControl w:val="0"/>
              <w:tabs>
                <w:tab w:val="center" w:pos="4153"/>
                <w:tab w:val="right" w:pos="8306"/>
              </w:tabs>
              <w:adjustRightInd w:val="0"/>
              <w:snapToGrid w:val="0"/>
              <w:spacing w:line="300" w:lineRule="exact"/>
              <w:jc w:val="left"/>
              <w:rPr>
                <w:rFonts w:ascii="仿宋" w:hAnsi="仿宋" w:eastAsia="仿宋" w:cs="仿宋"/>
                <w:szCs w:val="21"/>
              </w:rPr>
            </w:pPr>
            <w:r>
              <w:rPr>
                <w:rFonts w:hint="eastAsia" w:ascii="仿宋" w:hAnsi="仿宋" w:eastAsia="仿宋" w:cs="仿宋"/>
                <w:szCs w:val="21"/>
              </w:rPr>
              <w:t>医疗废物产生（私立医院）、医疗废物集中处置的企业</w:t>
            </w:r>
          </w:p>
        </w:tc>
        <w:tc>
          <w:tcPr>
            <w:tcW w:w="1370" w:type="dxa"/>
            <w:vAlign w:val="center"/>
          </w:tcPr>
          <w:p>
            <w:pPr>
              <w:widowControl w:val="0"/>
              <w:tabs>
                <w:tab w:val="center" w:pos="4153"/>
                <w:tab w:val="right" w:pos="8306"/>
              </w:tabs>
              <w:adjustRightInd w:val="0"/>
              <w:snapToGrid w:val="0"/>
              <w:spacing w:line="300" w:lineRule="exact"/>
              <w:jc w:val="left"/>
              <w:rPr>
                <w:rFonts w:ascii="仿宋" w:hAnsi="仿宋" w:eastAsia="仿宋" w:cs="仿宋"/>
                <w:szCs w:val="21"/>
              </w:rPr>
            </w:pPr>
            <w:r>
              <w:rPr>
                <w:rFonts w:hint="eastAsia" w:ascii="仿宋" w:hAnsi="仿宋" w:eastAsia="仿宋" w:cs="仿宋"/>
                <w:szCs w:val="21"/>
              </w:rPr>
              <w:t>对医疗废物收集、贮存、利用、处置等活动环境监管检查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25</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对新化学物质生产者、进口者和加工使用者是否按要求办理新化学物质环境管理登记、登记事项的真实性、登记证载明事项以及《新化学物质环境管理登记办法》其他相关规定的落实情况的行政检查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b/>
                <w:bCs/>
                <w:szCs w:val="21"/>
              </w:rPr>
              <w:t>《新化学物质环境管理登记办法》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第四十三条</w:t>
            </w:r>
            <w:r>
              <w:rPr>
                <w:rFonts w:ascii="仿宋" w:hAnsi="仿宋" w:eastAsia="仿宋" w:cs="仿宋"/>
                <w:szCs w:val="21"/>
              </w:rPr>
              <w:t xml:space="preserve"> </w:t>
            </w:r>
            <w:r>
              <w:rPr>
                <w:rFonts w:hint="eastAsia" w:ascii="仿宋" w:hAnsi="仿宋" w:eastAsia="仿宋" w:cs="仿宋"/>
                <w:szCs w:val="21"/>
              </w:rPr>
              <w:t>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lang w:val="zh-CN"/>
              </w:rPr>
            </w:pPr>
            <w:r>
              <w:rPr>
                <w:rFonts w:hint="eastAsia" w:ascii="仿宋" w:hAnsi="仿宋" w:eastAsia="仿宋" w:cs="仿宋"/>
                <w:szCs w:val="21"/>
              </w:rPr>
              <w:t>新化学物质的研究者、生产者、进口者和加工使用者应当如实提供相关资料，接受生态环境主管部门的监督抽查。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新化学物质环境管理登记企业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对新化学物质的研究、生产和加工使用情况环境监管检查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26</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对病原微生物实验室废水、废气和危险废物污染防治情况的行政检查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《病原微生物实验室生物安全环境管理办法》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第十九条</w:t>
            </w:r>
            <w:r>
              <w:rPr>
                <w:rFonts w:ascii="仿宋" w:hAnsi="仿宋" w:eastAsia="仿宋" w:cs="仿宋"/>
                <w:szCs w:val="21"/>
              </w:rPr>
              <w:t xml:space="preserve"> </w:t>
            </w:r>
            <w:r>
              <w:rPr>
                <w:rFonts w:hint="eastAsia" w:ascii="仿宋" w:hAnsi="仿宋" w:eastAsia="仿宋" w:cs="仿宋"/>
                <w:szCs w:val="21"/>
              </w:rPr>
              <w:t>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水科、大气科、固废科、支队及各分局承担相应职责的机构</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highlight w:val="yellow"/>
              </w:rPr>
            </w:pPr>
            <w:r>
              <w:rPr>
                <w:rFonts w:hint="eastAsia" w:ascii="仿宋" w:hAnsi="仿宋" w:eastAsia="仿宋" w:cs="仿宋"/>
                <w:szCs w:val="21"/>
              </w:rPr>
              <w:t>病原微生物实验室（私立医院、企业）</w:t>
            </w:r>
          </w:p>
        </w:tc>
        <w:tc>
          <w:tcPr>
            <w:tcW w:w="1370" w:type="dxa"/>
            <w:vAlign w:val="center"/>
          </w:tcPr>
          <w:p>
            <w:pPr>
              <w:widowControl w:val="0"/>
              <w:overflowPunct w:val="0"/>
              <w:topLinePunct/>
              <w:adjustRightInd w:val="0"/>
              <w:snapToGrid w:val="0"/>
              <w:spacing w:line="300" w:lineRule="exact"/>
              <w:jc w:val="left"/>
              <w:rPr>
                <w:rFonts w:ascii="仿宋" w:hAnsi="仿宋" w:eastAsia="仿宋" w:cs="仿宋"/>
                <w:szCs w:val="21"/>
                <w:highlight w:val="yellow"/>
              </w:rPr>
            </w:pPr>
            <w:r>
              <w:rPr>
                <w:rFonts w:hint="eastAsia" w:ascii="仿宋" w:hAnsi="仿宋" w:eastAsia="仿宋" w:cs="仿宋"/>
                <w:szCs w:val="21"/>
              </w:rPr>
              <w:t>对废水、废气和危险废物污染防治设施运行情况的监督检查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highlight w:val="yellow"/>
              </w:rPr>
            </w:pPr>
            <w:r>
              <w:rPr>
                <w:rFonts w:hint="eastAsia" w:ascii="仿宋" w:hAnsi="仿宋" w:eastAsia="仿宋" w:cs="仿宋"/>
                <w:szCs w:val="21"/>
              </w:rPr>
              <w:t>现场检查与非现场检查结合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27</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对报废机动车回收企业的行政检查</w:t>
            </w:r>
          </w:p>
          <w:p>
            <w:pPr>
              <w:widowControl w:val="0"/>
              <w:overflowPunct w:val="0"/>
              <w:topLinePunct/>
              <w:adjustRightInd w:val="0"/>
              <w:snapToGrid w:val="0"/>
              <w:spacing w:line="300" w:lineRule="exact"/>
              <w:rPr>
                <w:rFonts w:ascii="仿宋" w:hAnsi="仿宋" w:eastAsia="仿宋" w:cs="仿宋"/>
                <w:szCs w:val="21"/>
              </w:rPr>
            </w:pP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《报废机动车回收管理办法》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第四条第二款</w:t>
            </w:r>
            <w:r>
              <w:rPr>
                <w:rFonts w:ascii="仿宋" w:hAnsi="仿宋" w:eastAsia="仿宋" w:cs="仿宋"/>
                <w:szCs w:val="21"/>
              </w:rPr>
              <w:t xml:space="preserve"> </w:t>
            </w:r>
            <w:r>
              <w:rPr>
                <w:rFonts w:hint="eastAsia" w:ascii="仿宋" w:hAnsi="仿宋" w:eastAsia="仿宋" w:cs="仿宋"/>
                <w:szCs w:val="21"/>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第十六条</w:t>
            </w:r>
            <w:r>
              <w:rPr>
                <w:rFonts w:ascii="仿宋" w:hAnsi="仿宋" w:eastAsia="仿宋" w:cs="仿宋"/>
                <w:szCs w:val="21"/>
              </w:rPr>
              <w:t xml:space="preserve"> </w:t>
            </w:r>
            <w:r>
              <w:rPr>
                <w:rFonts w:hint="eastAsia" w:ascii="仿宋" w:hAnsi="仿宋" w:eastAsia="仿宋" w:cs="仿宋"/>
                <w:szCs w:val="21"/>
              </w:rPr>
              <w:t>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在监督检查中发现报废机动车回收企业不具备本办法规定的资质认定条件的，应当责令限期改正；拒不改正或者逾期未改正的，由原发证部门吊销资质认定书。</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固废科、支队及各分局承担相应职责的机构</w:t>
            </w:r>
          </w:p>
        </w:tc>
        <w:tc>
          <w:tcPr>
            <w:tcW w:w="1246" w:type="dxa"/>
            <w:vAlign w:val="center"/>
          </w:tcPr>
          <w:p>
            <w:pPr>
              <w:widowControl w:val="0"/>
              <w:overflowPunct w:val="0"/>
              <w:topLinePunct/>
              <w:spacing w:line="300" w:lineRule="exact"/>
              <w:rPr>
                <w:rFonts w:ascii="仿宋" w:hAnsi="仿宋" w:eastAsia="仿宋" w:cs="仿宋"/>
                <w:szCs w:val="21"/>
              </w:rPr>
            </w:pPr>
            <w:r>
              <w:rPr>
                <w:rFonts w:hint="eastAsia" w:ascii="仿宋" w:hAnsi="仿宋" w:eastAsia="仿宋" w:cs="仿宋"/>
                <w:szCs w:val="21"/>
              </w:rPr>
              <w:t>报废机动车回收企业</w:t>
            </w:r>
          </w:p>
        </w:tc>
        <w:tc>
          <w:tcPr>
            <w:tcW w:w="1370" w:type="dxa"/>
            <w:vAlign w:val="center"/>
          </w:tcPr>
          <w:p>
            <w:pPr>
              <w:widowControl w:val="0"/>
              <w:overflowPunct w:val="0"/>
              <w:topLinePunct/>
              <w:spacing w:line="300" w:lineRule="exact"/>
              <w:rPr>
                <w:rFonts w:ascii="仿宋" w:hAnsi="仿宋" w:eastAsia="仿宋" w:cs="仿宋"/>
                <w:szCs w:val="21"/>
              </w:rPr>
            </w:pPr>
            <w:r>
              <w:rPr>
                <w:rFonts w:hint="eastAsia" w:ascii="仿宋" w:hAnsi="仿宋" w:eastAsia="仿宋" w:cs="仿宋"/>
                <w:szCs w:val="21"/>
              </w:rPr>
              <w:t>对报废机动车回收活动中固体废物等污染防治情况实施监督管理</w:t>
            </w:r>
          </w:p>
        </w:tc>
        <w:tc>
          <w:tcPr>
            <w:tcW w:w="1203" w:type="dxa"/>
            <w:vAlign w:val="center"/>
          </w:tcPr>
          <w:p>
            <w:pPr>
              <w:widowControl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28</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对尾矿库运营、管理单位的行政检查</w:t>
            </w:r>
          </w:p>
          <w:p>
            <w:pPr>
              <w:widowControl w:val="0"/>
              <w:overflowPunct w:val="0"/>
              <w:topLinePunct/>
              <w:adjustRightInd w:val="0"/>
              <w:snapToGrid w:val="0"/>
              <w:spacing w:line="300" w:lineRule="exact"/>
              <w:rPr>
                <w:rFonts w:ascii="仿宋" w:hAnsi="仿宋" w:eastAsia="仿宋" w:cs="仿宋"/>
                <w:szCs w:val="21"/>
              </w:rPr>
            </w:pPr>
          </w:p>
        </w:tc>
        <w:tc>
          <w:tcPr>
            <w:tcW w:w="4009" w:type="dxa"/>
            <w:vAlign w:val="center"/>
          </w:tcPr>
          <w:p>
            <w:pPr>
              <w:widowControl w:val="0"/>
              <w:overflowPunct w:val="0"/>
              <w:topLinePunct/>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《尾矿污染环境防治管理办法》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第二十一条</w:t>
            </w:r>
            <w:r>
              <w:rPr>
                <w:rFonts w:ascii="仿宋" w:hAnsi="仿宋" w:eastAsia="仿宋" w:cs="仿宋"/>
                <w:szCs w:val="21"/>
              </w:rPr>
              <w:t xml:space="preserve"> </w:t>
            </w:r>
            <w:r>
              <w:rPr>
                <w:rFonts w:hint="eastAsia" w:ascii="仿宋" w:hAnsi="仿宋" w:eastAsia="仿宋" w:cs="仿宋"/>
                <w:szCs w:val="21"/>
              </w:rPr>
              <w:t>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生态环境主管部门在监督检查中发现尾矿库周边土壤和地下水存在污染物渗漏或者含量升高等污染迹象的，应当及时督促尾矿库运营、管理单位采取相应措施。</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固废科、土科、支队及各分局承担相应职责的机构</w:t>
            </w:r>
          </w:p>
        </w:tc>
        <w:tc>
          <w:tcPr>
            <w:tcW w:w="1246" w:type="dxa"/>
            <w:vAlign w:val="center"/>
          </w:tcPr>
          <w:p>
            <w:pPr>
              <w:widowControl w:val="0"/>
              <w:overflowPunct w:val="0"/>
              <w:topLinePunct/>
              <w:spacing w:line="300" w:lineRule="exact"/>
              <w:rPr>
                <w:rFonts w:ascii="仿宋" w:hAnsi="仿宋" w:eastAsia="仿宋" w:cs="仿宋"/>
                <w:szCs w:val="21"/>
              </w:rPr>
            </w:pPr>
            <w:r>
              <w:rPr>
                <w:rFonts w:hint="eastAsia" w:ascii="仿宋" w:hAnsi="仿宋" w:eastAsia="仿宋" w:cs="仿宋"/>
                <w:szCs w:val="21"/>
              </w:rPr>
              <w:t>尾矿库运营、管理的企业</w:t>
            </w:r>
          </w:p>
        </w:tc>
        <w:tc>
          <w:tcPr>
            <w:tcW w:w="1370" w:type="dxa"/>
            <w:vAlign w:val="center"/>
          </w:tcPr>
          <w:p>
            <w:pPr>
              <w:widowControl w:val="0"/>
              <w:overflowPunct w:val="0"/>
              <w:topLinePunct/>
              <w:spacing w:line="300" w:lineRule="exact"/>
              <w:rPr>
                <w:rFonts w:ascii="仿宋" w:hAnsi="仿宋" w:eastAsia="仿宋" w:cs="仿宋"/>
                <w:szCs w:val="21"/>
              </w:rPr>
            </w:pPr>
            <w:r>
              <w:rPr>
                <w:rFonts w:hint="eastAsia" w:ascii="仿宋" w:hAnsi="仿宋" w:eastAsia="仿宋" w:cs="仿宋"/>
                <w:szCs w:val="21"/>
              </w:rPr>
              <w:t>对尾矿库污染防治设施运行和环境风险管控等情况实施监督管理</w:t>
            </w:r>
          </w:p>
        </w:tc>
        <w:tc>
          <w:tcPr>
            <w:tcW w:w="1203" w:type="dxa"/>
            <w:vAlign w:val="center"/>
          </w:tcPr>
          <w:p>
            <w:pPr>
              <w:widowControl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29</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kern w:val="0"/>
                <w:szCs w:val="21"/>
              </w:rPr>
              <w:t>对核技术利用、伴生放射性矿开发利用中放射性污染防治的监督检查；对放射性废物处理、贮存和处置等活动的监督检查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《中华人民共和国放射性污染防治法》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第十一条</w:t>
            </w:r>
            <w:r>
              <w:rPr>
                <w:rFonts w:ascii="仿宋" w:hAnsi="仿宋" w:eastAsia="仿宋" w:cs="仿宋"/>
                <w:szCs w:val="21"/>
              </w:rPr>
              <w:t xml:space="preserve"> </w:t>
            </w:r>
            <w:r>
              <w:rPr>
                <w:rFonts w:hint="eastAsia" w:ascii="仿宋" w:hAnsi="仿宋" w:eastAsia="仿宋" w:cs="仿宋"/>
                <w:szCs w:val="21"/>
              </w:rPr>
              <w:t>国务院环境保护行政主管部门和国务院其他有关部门，按照职责分工，各负其责，互通信息，密切配合，对核设施、铀（钍）矿开发利用中的放射性污染防治进行监督检查。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县级以上地方人民政府环境保护行政主管部门和同级其他有关部门，按照职责分工，各负其责，互通信息，密切配合，对本行政区域内核技术利用、伴生放射性矿开发利用中的放射性污染防治进行监督检查。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widowControl w:val="0"/>
              <w:tabs>
                <w:tab w:val="center" w:pos="4153"/>
                <w:tab w:val="right" w:pos="8306"/>
              </w:tabs>
              <w:adjustRightInd w:val="0"/>
              <w:snapToGrid w:val="0"/>
              <w:spacing w:line="300" w:lineRule="exact"/>
              <w:rPr>
                <w:rFonts w:ascii="仿宋" w:hAnsi="仿宋" w:eastAsia="仿宋" w:cs="仿宋"/>
                <w:b/>
                <w:bCs/>
                <w:kern w:val="0"/>
                <w:szCs w:val="21"/>
              </w:rPr>
            </w:pPr>
            <w:r>
              <w:rPr>
                <w:rFonts w:ascii="仿宋" w:hAnsi="仿宋" w:eastAsia="仿宋" w:cs="仿宋"/>
                <w:b/>
                <w:bCs/>
                <w:kern w:val="0"/>
                <w:szCs w:val="21"/>
              </w:rPr>
              <w:t>2.</w:t>
            </w:r>
            <w:r>
              <w:rPr>
                <w:rFonts w:hint="eastAsia" w:ascii="仿宋" w:hAnsi="仿宋" w:eastAsia="仿宋" w:cs="仿宋"/>
                <w:b/>
                <w:bCs/>
                <w:kern w:val="0"/>
                <w:szCs w:val="21"/>
              </w:rPr>
              <w:t>《放射性废物安全管理条例》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第二十八条</w:t>
            </w:r>
            <w:r>
              <w:rPr>
                <w:rFonts w:ascii="仿宋" w:hAnsi="仿宋" w:eastAsia="仿宋" w:cs="仿宋"/>
                <w:kern w:val="0"/>
                <w:szCs w:val="21"/>
              </w:rPr>
              <w:t xml:space="preserve"> </w:t>
            </w:r>
            <w:r>
              <w:rPr>
                <w:rFonts w:hint="eastAsia" w:ascii="仿宋" w:hAnsi="仿宋" w:eastAsia="仿宋" w:cs="仿宋"/>
                <w:kern w:val="0"/>
                <w:szCs w:val="21"/>
              </w:rPr>
              <w:t>县级以上人民政府环境保护主管部门和其他有关部门，依照《中华人民共和国放射性污染防治法》和本条例的规定，对放射性废物处理、贮存和处置等活动的安全性进行监督检查。</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《放射性同位素与射线装置安全和防护条例》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第四十六条</w:t>
            </w:r>
            <w:r>
              <w:rPr>
                <w:rFonts w:ascii="仿宋" w:hAnsi="仿宋" w:eastAsia="仿宋" w:cs="仿宋"/>
                <w:szCs w:val="21"/>
              </w:rPr>
              <w:t xml:space="preserve"> </w:t>
            </w:r>
            <w:r>
              <w:rPr>
                <w:rFonts w:hint="eastAsia" w:ascii="仿宋" w:hAnsi="仿宋" w:eastAsia="仿宋" w:cs="仿宋"/>
                <w:szCs w:val="21"/>
              </w:rPr>
              <w:t>县级以上人民政府生态环境主管部门和其他有关部门应当按照各自职责对生产、销售、使用放射性同位素和射线装置的单位进行监督检查。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被检查单位应当予以配合，如实反映情况，提供必要的资料，不得拒绝和阻碍。</w:t>
            </w:r>
          </w:p>
          <w:p>
            <w:pPr>
              <w:widowControl w:val="0"/>
              <w:tabs>
                <w:tab w:val="center" w:pos="4153"/>
                <w:tab w:val="right" w:pos="8306"/>
              </w:tabs>
              <w:adjustRightInd w:val="0"/>
              <w:snapToGrid w:val="0"/>
              <w:spacing w:line="300" w:lineRule="exact"/>
              <w:rPr>
                <w:rFonts w:ascii="仿宋" w:hAnsi="仿宋" w:eastAsia="仿宋" w:cs="仿宋"/>
                <w:b/>
                <w:bCs/>
                <w:szCs w:val="21"/>
                <w:shd w:val="clear" w:color="auto" w:fill="FFFFFF"/>
                <w:lang w:val="zh-CN"/>
              </w:rPr>
            </w:pPr>
            <w:r>
              <w:rPr>
                <w:rFonts w:ascii="仿宋" w:hAnsi="仿宋" w:eastAsia="仿宋" w:cs="仿宋"/>
                <w:b/>
                <w:bCs/>
                <w:szCs w:val="21"/>
                <w:shd w:val="clear" w:color="auto" w:fill="FFFFFF"/>
              </w:rPr>
              <w:t>4.</w:t>
            </w:r>
            <w:r>
              <w:rPr>
                <w:rFonts w:hint="eastAsia" w:ascii="仿宋" w:hAnsi="仿宋" w:eastAsia="仿宋" w:cs="仿宋"/>
                <w:b/>
                <w:bCs/>
                <w:szCs w:val="21"/>
                <w:shd w:val="clear" w:color="auto" w:fill="FFFFFF"/>
                <w:lang w:val="zh-CN"/>
              </w:rPr>
              <w:t>《放射性同位素与射线装置安全许可管理办法》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b/>
                <w:bCs/>
                <w:szCs w:val="21"/>
              </w:rPr>
            </w:pPr>
            <w:r>
              <w:rPr>
                <w:rFonts w:hint="eastAsia" w:ascii="仿宋" w:hAnsi="仿宋" w:eastAsia="仿宋" w:cs="仿宋"/>
                <w:szCs w:val="21"/>
                <w:shd w:val="clear" w:color="auto" w:fill="FFFFFF"/>
                <w:lang w:val="zh-CN"/>
              </w:rPr>
              <w:t>第四十三条</w:t>
            </w:r>
            <w:r>
              <w:rPr>
                <w:rFonts w:ascii="仿宋" w:hAnsi="仿宋" w:eastAsia="仿宋" w:cs="仿宋"/>
                <w:szCs w:val="21"/>
                <w:shd w:val="clear" w:color="auto" w:fill="FFFFFF"/>
              </w:rPr>
              <w:t xml:space="preserve"> </w:t>
            </w:r>
            <w:r>
              <w:rPr>
                <w:rFonts w:hint="eastAsia" w:ascii="仿宋" w:hAnsi="仿宋" w:eastAsia="仿宋" w:cs="仿宋"/>
                <w:szCs w:val="21"/>
                <w:shd w:val="clear" w:color="auto" w:fill="FFFFFF"/>
              </w:rPr>
              <w:t>县级以上人民政府环境保护主管部门应当对辐射工作单位进行监督检查，对存在的问题，应当提出书面的现场检查意见和整改要求，由检查人员签字或检查单位盖章后交被检查单位，并由被检查单位存档备案。</w:t>
            </w:r>
            <w:r>
              <w:rPr>
                <w:rFonts w:ascii="仿宋" w:hAnsi="仿宋" w:eastAsia="仿宋" w:cs="仿宋"/>
                <w:szCs w:val="21"/>
                <w:shd w:val="clear" w:color="auto" w:fill="FFFFFF"/>
              </w:rPr>
              <w:br w:type="textWrapping"/>
            </w:r>
            <w:r>
              <w:rPr>
                <w:rFonts w:ascii="仿宋" w:hAnsi="仿宋" w:eastAsia="仿宋" w:cs="仿宋"/>
                <w:b/>
                <w:bCs/>
                <w:szCs w:val="21"/>
              </w:rPr>
              <w:t>5.</w:t>
            </w:r>
            <w:r>
              <w:rPr>
                <w:rFonts w:hint="eastAsia" w:ascii="仿宋" w:hAnsi="仿宋" w:eastAsia="仿宋" w:cs="仿宋"/>
                <w:b/>
                <w:bCs/>
                <w:szCs w:val="21"/>
              </w:rPr>
              <w:t>《放射性同位素与射线装置安全和防护管理办法》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第三十八条</w:t>
            </w:r>
            <w:r>
              <w:rPr>
                <w:rFonts w:ascii="仿宋" w:hAnsi="仿宋" w:eastAsia="仿宋" w:cs="仿宋"/>
                <w:szCs w:val="21"/>
              </w:rPr>
              <w:t xml:space="preserve"> </w:t>
            </w:r>
            <w:r>
              <w:rPr>
                <w:rFonts w:hint="eastAsia" w:ascii="仿宋" w:hAnsi="仿宋" w:eastAsia="仿宋" w:cs="仿宋"/>
                <w:szCs w:val="21"/>
              </w:rPr>
              <w:t>省级以上人民政府环境保护主管部门应当对其依法颁发辐射安全许可证的单位进行监督检查。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r>
              <w:rPr>
                <w:rFonts w:hint="eastAsia" w:ascii="仿宋" w:hAnsi="仿宋" w:eastAsia="仿宋" w:cs="仿宋"/>
                <w:szCs w:val="21"/>
              </w:rPr>
              <w:t>省级以上人民政府环境保护主管部门委托下一级环境保护主管部门颁发辐射安全许可证的，接受委托的环境保护主管部门应当对其颁发辐射安全许可证的单位进行监督检查。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固废科、事务中心、支队及各分局承担相应职责的机构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全省范围内所有核技术利用的企业、伴生放射性矿开发利用企业、放射性废物</w:t>
            </w:r>
            <w:r>
              <w:rPr>
                <w:rFonts w:hint="eastAsia" w:ascii="仿宋" w:hAnsi="仿宋" w:eastAsia="仿宋" w:cs="仿宋"/>
                <w:kern w:val="0"/>
                <w:szCs w:val="21"/>
              </w:rPr>
              <w:t>处理、贮存和处置等的企业</w:t>
            </w:r>
          </w:p>
        </w:tc>
        <w:tc>
          <w:tcPr>
            <w:tcW w:w="1370" w:type="dxa"/>
            <w:vAlign w:val="center"/>
          </w:tcPr>
          <w:p>
            <w:pPr>
              <w:widowControl w:val="0"/>
              <w:numPr>
                <w:ilvl w:val="0"/>
                <w:numId w:val="1"/>
              </w:numPr>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被检查单位法律法规执行情况</w:t>
            </w:r>
          </w:p>
          <w:p>
            <w:pPr>
              <w:widowControl w:val="0"/>
              <w:numPr>
                <w:ilvl w:val="0"/>
                <w:numId w:val="1"/>
              </w:numPr>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辐射安全和防护设施</w:t>
            </w:r>
            <w:r>
              <w:rPr>
                <w:rFonts w:hint="eastAsia" w:ascii="仿宋" w:hAnsi="仿宋" w:eastAsia="仿宋" w:cs="仿宋"/>
                <w:kern w:val="0"/>
                <w:szCs w:val="21"/>
              </w:rPr>
              <w:t>设备</w:t>
            </w:r>
            <w:r>
              <w:rPr>
                <w:rFonts w:hint="eastAsia" w:ascii="仿宋" w:hAnsi="仿宋" w:eastAsia="仿宋" w:cs="仿宋"/>
                <w:szCs w:val="21"/>
              </w:rPr>
              <w:t>运行与维护情况</w:t>
            </w:r>
          </w:p>
          <w:p>
            <w:pPr>
              <w:widowControl w:val="0"/>
              <w:numPr>
                <w:ilvl w:val="0"/>
                <w:numId w:val="1"/>
              </w:numPr>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辐射安全和防护制度与措施的建立和落实情况</w:t>
            </w:r>
          </w:p>
          <w:p>
            <w:pPr>
              <w:widowControl w:val="0"/>
              <w:numPr>
                <w:ilvl w:val="0"/>
                <w:numId w:val="1"/>
              </w:numPr>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《全国核技术利用辐射安全申报系统》数据更新维护情况等</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30</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对放射性物品运输核与辐射安全的行政检查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《放射性物品运输安全管理条例》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第四条第二款</w:t>
            </w:r>
            <w:r>
              <w:rPr>
                <w:rFonts w:ascii="仿宋" w:hAnsi="仿宋" w:eastAsia="仿宋" w:cs="仿宋"/>
                <w:szCs w:val="21"/>
              </w:rPr>
              <w:t xml:space="preserve"> </w:t>
            </w:r>
            <w:r>
              <w:rPr>
                <w:rFonts w:hint="eastAsia" w:ascii="仿宋" w:hAnsi="仿宋" w:eastAsia="仿宋" w:cs="仿宋"/>
                <w:szCs w:val="21"/>
              </w:rPr>
              <w:t>县级以上地方人民政府环境保护主管部门和公安、交通运输等有关主管部门，依照本条例规定和各自的职责，负责本行政区域放射性物品运输安全的有关监督管理工作。</w:t>
            </w:r>
            <w:r>
              <w:rPr>
                <w:rFonts w:ascii="仿宋" w:hAnsi="仿宋" w:eastAsia="仿宋" w:cs="仿宋"/>
                <w:b/>
                <w:bCs/>
                <w:szCs w:val="21"/>
              </w:rPr>
              <w:br w:type="textWrapping"/>
            </w:r>
            <w:r>
              <w:rPr>
                <w:rFonts w:ascii="仿宋" w:hAnsi="仿宋" w:eastAsia="仿宋" w:cs="仿宋"/>
                <w:b/>
                <w:bCs/>
                <w:szCs w:val="21"/>
              </w:rPr>
              <w:t xml:space="preserve">    </w:t>
            </w:r>
            <w:r>
              <w:rPr>
                <w:rFonts w:hint="eastAsia" w:ascii="仿宋" w:hAnsi="仿宋" w:eastAsia="仿宋" w:cs="仿宋"/>
                <w:szCs w:val="21"/>
              </w:rPr>
              <w:t>第四十四条第三款</w:t>
            </w:r>
            <w:r>
              <w:rPr>
                <w:rFonts w:ascii="仿宋" w:hAnsi="仿宋" w:eastAsia="仿宋" w:cs="仿宋"/>
                <w:szCs w:val="21"/>
              </w:rPr>
              <w:t xml:space="preserve"> </w:t>
            </w:r>
            <w:r>
              <w:rPr>
                <w:rFonts w:hint="eastAsia" w:ascii="仿宋" w:hAnsi="仿宋" w:eastAsia="仿宋" w:cs="仿宋"/>
                <w:szCs w:val="21"/>
              </w:rPr>
              <w:t>被检查单位应当予以配合，如实反映情况，提供必要的资料，不得拒绝和阻碍。</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《放射性物品运输安全监督管理办法》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第三十三条第一、二款</w:t>
            </w:r>
            <w:r>
              <w:rPr>
                <w:rFonts w:ascii="仿宋" w:hAnsi="仿宋" w:eastAsia="仿宋" w:cs="仿宋"/>
                <w:szCs w:val="21"/>
              </w:rPr>
              <w:t xml:space="preserve"> </w:t>
            </w:r>
            <w:r>
              <w:rPr>
                <w:rFonts w:hint="eastAsia" w:ascii="仿宋" w:hAnsi="仿宋" w:eastAsia="仿宋" w:cs="仿宋"/>
                <w:szCs w:val="21"/>
              </w:rPr>
              <w:t>对一类放射性物品的运输，启运地的省、自治区、直辖市环境保护主管部门应当在启运前对放射性物品运输托运人的运输准备情况进行监督检查。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r>
              <w:rPr>
                <w:rFonts w:hint="eastAsia" w:ascii="仿宋" w:hAnsi="仿宋" w:eastAsia="仿宋" w:cs="仿宋"/>
                <w:szCs w:val="21"/>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固废科、事务中心、支队各分局承担相应职责的机构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放射性物品运输相关的企业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被检查单位企业法律法规执行情况</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辐射安全和防护设施设备运行与维护情况</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辐射安全和防护制度与措施的建立和落实情况</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31</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对排放电磁辐射污染的企业事业单位和其他生产经营者行政检查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固废科、事务中心、支队及各分局承担相应职责的机构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全省范围内排放电磁辐射污染的企业和其他生产经营者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被检查单位法律法规执行情况、辐射安全和防护设施</w:t>
            </w:r>
            <w:r>
              <w:rPr>
                <w:rFonts w:hint="eastAsia" w:ascii="仿宋" w:hAnsi="仿宋" w:eastAsia="仿宋" w:cs="仿宋"/>
                <w:kern w:val="0"/>
                <w:szCs w:val="21"/>
              </w:rPr>
              <w:t>设备</w:t>
            </w:r>
            <w:r>
              <w:rPr>
                <w:rFonts w:hint="eastAsia" w:ascii="仿宋" w:hAnsi="仿宋" w:eastAsia="仿宋" w:cs="仿宋"/>
                <w:szCs w:val="21"/>
              </w:rPr>
              <w:t>运行与维护情况、辐射安全和防护制度与措施的建立和落实情况等。</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88"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ascii="仿宋" w:hAnsi="仿宋" w:eastAsia="仿宋" w:cs="仿宋"/>
                <w:kern w:val="0"/>
                <w:szCs w:val="21"/>
              </w:rPr>
              <w:t>32</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shd w:val="clear" w:color="auto" w:fill="FFFFFF"/>
              </w:rPr>
              <w:t>对排污许可事中事后的行政检查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shd w:val="clear" w:color="auto" w:fill="FFFFFF"/>
              </w:rPr>
            </w:pPr>
            <w:r>
              <w:rPr>
                <w:rFonts w:hint="default" w:ascii="仿宋" w:hAnsi="仿宋" w:eastAsia="仿宋" w:cs="仿宋"/>
                <w:b/>
                <w:bCs/>
                <w:szCs w:val="21"/>
                <w:shd w:val="clear" w:color="auto" w:fill="FFFFFF"/>
                <w:lang w:val="en"/>
              </w:rPr>
              <w:t>1.</w:t>
            </w:r>
            <w:r>
              <w:rPr>
                <w:rFonts w:hint="eastAsia" w:ascii="仿宋" w:hAnsi="仿宋" w:eastAsia="仿宋" w:cs="仿宋"/>
                <w:b/>
                <w:bCs/>
                <w:szCs w:val="21"/>
                <w:shd w:val="clear" w:color="auto" w:fill="FFFFFF"/>
              </w:rPr>
              <w:t>《排污许可管理条例》</w:t>
            </w:r>
          </w:p>
          <w:p>
            <w:pPr>
              <w:widowControl w:val="0"/>
              <w:spacing w:line="300" w:lineRule="exact"/>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第二十五条第一款</w:t>
            </w:r>
            <w:r>
              <w:rPr>
                <w:rFonts w:ascii="仿宋" w:hAnsi="仿宋" w:eastAsia="仿宋" w:cs="仿宋"/>
                <w:szCs w:val="21"/>
                <w:shd w:val="clear" w:color="auto" w:fill="FFFFFF"/>
              </w:rPr>
              <w:t xml:space="preserve"> </w:t>
            </w:r>
            <w:r>
              <w:rPr>
                <w:rFonts w:hint="eastAsia" w:ascii="仿宋" w:hAnsi="仿宋" w:eastAsia="仿宋" w:cs="仿宋"/>
                <w:szCs w:val="21"/>
                <w:shd w:val="clear" w:color="auto" w:fill="FFFFFF"/>
              </w:rPr>
              <w:t>生态环境主管部门应当加强对排污许可的事中事后监管，将排污许可执法检查纳入生态环境执法年度计划，根据排污许可管理类别、排污单位信用记录和生态环境管理需要等因素，合理确定检查频次和检查方式。</w:t>
            </w:r>
          </w:p>
          <w:p>
            <w:pPr>
              <w:widowControl w:val="0"/>
              <w:spacing w:line="300" w:lineRule="exact"/>
              <w:rPr>
                <w:rFonts w:ascii="仿宋" w:hAnsi="仿宋" w:eastAsia="仿宋" w:cs="仿宋"/>
                <w:b/>
                <w:color w:val="FF0000"/>
                <w:szCs w:val="21"/>
              </w:rPr>
            </w:pPr>
            <w:r>
              <w:rPr>
                <w:rFonts w:hint="default" w:ascii="仿宋" w:hAnsi="仿宋" w:eastAsia="仿宋" w:cs="仿宋"/>
                <w:b/>
                <w:color w:val="FF0000"/>
                <w:szCs w:val="21"/>
                <w:lang w:val="en"/>
              </w:rPr>
              <w:t>2</w:t>
            </w:r>
            <w:r>
              <w:rPr>
                <w:rFonts w:ascii="仿宋" w:hAnsi="仿宋" w:eastAsia="仿宋" w:cs="仿宋"/>
                <w:b/>
                <w:color w:val="FF0000"/>
                <w:szCs w:val="21"/>
              </w:rPr>
              <w:t>.</w:t>
            </w:r>
            <w:r>
              <w:rPr>
                <w:rFonts w:hint="eastAsia" w:ascii="仿宋" w:hAnsi="仿宋" w:eastAsia="仿宋" w:cs="仿宋"/>
                <w:b/>
                <w:color w:val="FF0000"/>
                <w:szCs w:val="21"/>
              </w:rPr>
              <w:t>《排污许可管理办法》</w:t>
            </w:r>
          </w:p>
          <w:p>
            <w:pPr>
              <w:widowControl w:val="0"/>
              <w:spacing w:line="300" w:lineRule="exact"/>
              <w:ind w:firstLine="420" w:firstLineChars="200"/>
              <w:rPr>
                <w:rFonts w:ascii="仿宋" w:hAnsi="仿宋" w:eastAsia="仿宋" w:cs="仿宋"/>
                <w:bCs/>
                <w:color w:val="FF0000"/>
                <w:szCs w:val="21"/>
              </w:rPr>
            </w:pPr>
            <w:r>
              <w:rPr>
                <w:rFonts w:hint="eastAsia" w:ascii="仿宋" w:hAnsi="仿宋" w:eastAsia="仿宋" w:cs="仿宋"/>
                <w:bCs/>
                <w:color w:val="FF0000"/>
                <w:szCs w:val="21"/>
              </w:rPr>
              <w:t>第四十条第一款 </w:t>
            </w:r>
            <w:r>
              <w:rPr>
                <w:rFonts w:ascii="仿宋" w:hAnsi="仿宋" w:eastAsia="仿宋" w:cs="仿宋"/>
                <w:bCs/>
                <w:color w:val="FF0000"/>
                <w:szCs w:val="21"/>
              </w:rPr>
              <w:t xml:space="preserve"> </w:t>
            </w:r>
            <w:r>
              <w:rPr>
                <w:rFonts w:hint="eastAsia" w:ascii="仿宋" w:hAnsi="仿宋" w:eastAsia="仿宋" w:cs="仿宋"/>
                <w:bCs/>
                <w:color w:val="FF0000"/>
                <w:szCs w:val="21"/>
              </w:rPr>
              <w:t>生态环境主管部门应当将排污许可证和排污登记信息纳入执法监管数据库，将排污许可执法检查纳入生态环境执法年度计划，加强对排污许可证记载事项的清单式执法检查。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审批办、支队及各分局承担相应职责的机构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纳入固定污染源排污许可重点或简化管理的排污企业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排污许可证质量、排污许可证与现场一致性、排污许可要求执行情况监督检查</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33</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对建设项目投入生产或者使用后所产生的环境影响的行政检查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kern w:val="0"/>
                <w:szCs w:val="21"/>
              </w:rPr>
            </w:pPr>
            <w:r>
              <w:rPr>
                <w:rFonts w:ascii="仿宋" w:hAnsi="仿宋" w:eastAsia="仿宋" w:cs="仿宋"/>
                <w:b/>
                <w:bCs/>
                <w:kern w:val="0"/>
                <w:szCs w:val="21"/>
              </w:rPr>
              <w:t>1.</w:t>
            </w:r>
            <w:r>
              <w:rPr>
                <w:rFonts w:hint="eastAsia" w:ascii="仿宋" w:hAnsi="仿宋" w:eastAsia="仿宋" w:cs="仿宋"/>
                <w:b/>
                <w:bCs/>
                <w:kern w:val="0"/>
                <w:szCs w:val="21"/>
              </w:rPr>
              <w:t>《中华人民共和国环境影响评价法》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第二十八条</w:t>
            </w:r>
            <w:r>
              <w:rPr>
                <w:rFonts w:ascii="仿宋" w:hAnsi="仿宋" w:eastAsia="仿宋" w:cs="仿宋"/>
                <w:szCs w:val="21"/>
              </w:rPr>
              <w:t xml:space="preserve"> </w:t>
            </w:r>
            <w:r>
              <w:rPr>
                <w:rFonts w:hint="eastAsia" w:ascii="仿宋" w:hAnsi="仿宋" w:eastAsia="仿宋" w:cs="仿宋"/>
                <w:szCs w:val="21"/>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widowControl w:val="0"/>
              <w:tabs>
                <w:tab w:val="center" w:pos="4153"/>
                <w:tab w:val="right" w:pos="8306"/>
              </w:tabs>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《建设项目环境保护管理条例》</w:t>
            </w:r>
          </w:p>
          <w:p>
            <w:pPr>
              <w:widowControl w:val="0"/>
              <w:tabs>
                <w:tab w:val="center" w:pos="4153"/>
                <w:tab w:val="right" w:pos="8306"/>
              </w:tabs>
              <w:snapToGrid w:val="0"/>
              <w:spacing w:line="300" w:lineRule="exact"/>
              <w:ind w:firstLine="420" w:firstLineChars="200"/>
              <w:rPr>
                <w:rFonts w:ascii="仿宋" w:hAnsi="仿宋" w:eastAsia="仿宋" w:cs="仿宋"/>
                <w:bCs/>
                <w:szCs w:val="21"/>
              </w:rPr>
            </w:pPr>
            <w:r>
              <w:rPr>
                <w:rFonts w:hint="eastAsia" w:ascii="仿宋" w:hAnsi="仿宋" w:eastAsia="仿宋" w:cs="仿宋"/>
                <w:bCs/>
                <w:szCs w:val="21"/>
              </w:rPr>
              <w:t>第二十一条　建设单位有下列行为之一的，依照《中华人民共和国环境影响评价法》的规定处罚：</w:t>
            </w:r>
          </w:p>
          <w:p>
            <w:pPr>
              <w:widowControl w:val="0"/>
              <w:tabs>
                <w:tab w:val="center" w:pos="4153"/>
                <w:tab w:val="right" w:pos="8306"/>
              </w:tabs>
              <w:snapToGrid w:val="0"/>
              <w:spacing w:line="300" w:lineRule="exact"/>
              <w:ind w:firstLine="420" w:firstLineChars="200"/>
              <w:rPr>
                <w:rFonts w:ascii="仿宋" w:hAnsi="仿宋" w:eastAsia="仿宋" w:cs="仿宋"/>
                <w:bCs/>
                <w:szCs w:val="21"/>
              </w:rPr>
            </w:pPr>
            <w:r>
              <w:rPr>
                <w:rFonts w:ascii="仿宋" w:hAnsi="仿宋" w:eastAsia="仿宋" w:cs="仿宋"/>
                <w:bCs/>
                <w:szCs w:val="21"/>
              </w:rPr>
              <w:t>(</w:t>
            </w:r>
            <w:r>
              <w:rPr>
                <w:rFonts w:hint="eastAsia" w:ascii="仿宋" w:hAnsi="仿宋" w:eastAsia="仿宋" w:cs="仿宋"/>
                <w:bCs/>
                <w:szCs w:val="21"/>
              </w:rPr>
              <w:t>一</w:t>
            </w:r>
            <w:r>
              <w:rPr>
                <w:rFonts w:ascii="仿宋" w:hAnsi="仿宋" w:eastAsia="仿宋" w:cs="仿宋"/>
                <w:bCs/>
                <w:szCs w:val="21"/>
              </w:rPr>
              <w:t>)</w:t>
            </w:r>
            <w:r>
              <w:rPr>
                <w:rFonts w:hint="eastAsia" w:ascii="仿宋" w:hAnsi="仿宋" w:eastAsia="仿宋" w:cs="仿宋"/>
                <w:bCs/>
                <w:szCs w:val="21"/>
              </w:rPr>
              <w:t>建设项目环境影响报告书、环境影响报告表未依法报批或者报请重新审核，擅自开工建设</w:t>
            </w:r>
            <w:r>
              <w:rPr>
                <w:rFonts w:ascii="仿宋" w:hAnsi="仿宋" w:eastAsia="仿宋" w:cs="仿宋"/>
                <w:bCs/>
                <w:szCs w:val="21"/>
              </w:rPr>
              <w:t>;</w:t>
            </w:r>
          </w:p>
          <w:p>
            <w:pPr>
              <w:widowControl w:val="0"/>
              <w:tabs>
                <w:tab w:val="center" w:pos="4153"/>
                <w:tab w:val="right" w:pos="8306"/>
              </w:tabs>
              <w:snapToGrid w:val="0"/>
              <w:spacing w:line="300" w:lineRule="exact"/>
              <w:ind w:firstLine="420" w:firstLineChars="200"/>
              <w:rPr>
                <w:rFonts w:ascii="仿宋" w:hAnsi="仿宋" w:eastAsia="仿宋" w:cs="仿宋"/>
                <w:bCs/>
                <w:szCs w:val="21"/>
              </w:rPr>
            </w:pPr>
            <w:r>
              <w:rPr>
                <w:rFonts w:ascii="仿宋" w:hAnsi="仿宋" w:eastAsia="仿宋" w:cs="仿宋"/>
                <w:bCs/>
                <w:szCs w:val="21"/>
              </w:rPr>
              <w:t>(</w:t>
            </w:r>
            <w:r>
              <w:rPr>
                <w:rFonts w:hint="eastAsia" w:ascii="仿宋" w:hAnsi="仿宋" w:eastAsia="仿宋" w:cs="仿宋"/>
                <w:bCs/>
                <w:szCs w:val="21"/>
              </w:rPr>
              <w:t>二</w:t>
            </w:r>
            <w:r>
              <w:rPr>
                <w:rFonts w:ascii="仿宋" w:hAnsi="仿宋" w:eastAsia="仿宋" w:cs="仿宋"/>
                <w:bCs/>
                <w:szCs w:val="21"/>
              </w:rPr>
              <w:t>)</w:t>
            </w:r>
            <w:r>
              <w:rPr>
                <w:rFonts w:hint="eastAsia" w:ascii="仿宋" w:hAnsi="仿宋" w:eastAsia="仿宋" w:cs="仿宋"/>
                <w:bCs/>
                <w:szCs w:val="21"/>
              </w:rPr>
              <w:t>建设项目环境影响报告书、环境影响报告表未经批准或者重新审核同意，擅自开工建设</w:t>
            </w:r>
            <w:r>
              <w:rPr>
                <w:rFonts w:ascii="仿宋" w:hAnsi="仿宋" w:eastAsia="仿宋" w:cs="仿宋"/>
                <w:bCs/>
                <w:szCs w:val="21"/>
              </w:rPr>
              <w:t>;</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ascii="仿宋" w:hAnsi="仿宋" w:eastAsia="仿宋" w:cs="仿宋"/>
                <w:bCs/>
                <w:szCs w:val="21"/>
              </w:rPr>
              <w:t>(</w:t>
            </w:r>
            <w:r>
              <w:rPr>
                <w:rFonts w:hint="eastAsia" w:ascii="仿宋" w:hAnsi="仿宋" w:eastAsia="仿宋" w:cs="仿宋"/>
                <w:bCs/>
                <w:szCs w:val="21"/>
              </w:rPr>
              <w:t>三</w:t>
            </w:r>
            <w:r>
              <w:rPr>
                <w:rFonts w:ascii="仿宋" w:hAnsi="仿宋" w:eastAsia="仿宋" w:cs="仿宋"/>
                <w:bCs/>
                <w:szCs w:val="21"/>
              </w:rPr>
              <w:t>)</w:t>
            </w:r>
            <w:r>
              <w:rPr>
                <w:rFonts w:hint="eastAsia" w:ascii="仿宋" w:hAnsi="仿宋" w:eastAsia="仿宋" w:cs="仿宋"/>
                <w:bCs/>
                <w:szCs w:val="21"/>
              </w:rPr>
              <w:t>建设项目环境影响登记表未依法备案。</w:t>
            </w:r>
          </w:p>
          <w:p>
            <w:pPr>
              <w:widowControl w:val="0"/>
              <w:spacing w:line="300" w:lineRule="exact"/>
              <w:rPr>
                <w:rFonts w:ascii="仿宋" w:hAnsi="仿宋" w:eastAsia="仿宋" w:cs="仿宋"/>
                <w:bCs/>
                <w:szCs w:val="21"/>
              </w:rPr>
            </w:pPr>
            <w:r>
              <w:rPr>
                <w:rFonts w:hint="default" w:ascii="仿宋" w:hAnsi="仿宋" w:eastAsia="仿宋" w:cs="仿宋"/>
                <w:b/>
                <w:szCs w:val="21"/>
                <w:lang w:val="en"/>
              </w:rPr>
              <w:t>3</w:t>
            </w:r>
            <w:r>
              <w:rPr>
                <w:rFonts w:ascii="仿宋" w:hAnsi="仿宋" w:eastAsia="仿宋" w:cs="仿宋"/>
                <w:b/>
                <w:szCs w:val="21"/>
              </w:rPr>
              <w:t>.</w:t>
            </w:r>
            <w:r>
              <w:rPr>
                <w:rFonts w:hint="eastAsia" w:ascii="仿宋" w:hAnsi="仿宋" w:eastAsia="仿宋" w:cs="仿宋"/>
                <w:b/>
                <w:szCs w:val="21"/>
              </w:rPr>
              <w:t>《建设项目环境影响登记表备案管理办法》</w:t>
            </w:r>
          </w:p>
          <w:p>
            <w:pPr>
              <w:widowControl w:val="0"/>
              <w:spacing w:line="300" w:lineRule="exact"/>
              <w:ind w:firstLine="420" w:firstLineChars="200"/>
              <w:rPr>
                <w:rFonts w:ascii="仿宋" w:hAnsi="仿宋" w:eastAsia="仿宋" w:cs="仿宋"/>
                <w:bCs/>
                <w:szCs w:val="21"/>
              </w:rPr>
            </w:pPr>
            <w:r>
              <w:rPr>
                <w:rFonts w:hint="eastAsia" w:ascii="仿宋" w:hAnsi="仿宋" w:eastAsia="仿宋" w:cs="仿宋"/>
                <w:bCs/>
                <w:szCs w:val="21"/>
              </w:rPr>
              <w:t>第十七条</w:t>
            </w:r>
            <w:r>
              <w:rPr>
                <w:rFonts w:ascii="仿宋" w:hAnsi="仿宋" w:eastAsia="仿宋" w:cs="仿宋"/>
                <w:bCs/>
                <w:szCs w:val="21"/>
              </w:rPr>
              <w:t xml:space="preserve">  </w:t>
            </w:r>
            <w:r>
              <w:rPr>
                <w:rFonts w:hint="eastAsia" w:ascii="仿宋" w:hAnsi="仿宋" w:eastAsia="仿宋" w:cs="仿宋"/>
                <w:bCs/>
                <w:szCs w:val="21"/>
              </w:rPr>
              <w:t>环境保护主管部门或者其他负有环境保护监督管理职责的部门可以采取抽查、根据举报进行检查等方式，对建设单位遵守本办法规定的情况开展监督检查，并根据监督检查认定的事实，按照以下情形处理：</w:t>
            </w:r>
          </w:p>
          <w:p>
            <w:pPr>
              <w:widowControl w:val="0"/>
              <w:numPr>
                <w:ilvl w:val="0"/>
                <w:numId w:val="2"/>
              </w:numPr>
              <w:spacing w:line="300" w:lineRule="exact"/>
              <w:ind w:firstLine="420" w:firstLineChars="200"/>
              <w:rPr>
                <w:rFonts w:ascii="仿宋" w:hAnsi="仿宋" w:eastAsia="仿宋" w:cs="仿宋"/>
                <w:bCs/>
                <w:szCs w:val="21"/>
              </w:rPr>
            </w:pPr>
            <w:r>
              <w:rPr>
                <w:rFonts w:hint="eastAsia" w:ascii="仿宋" w:hAnsi="仿宋" w:eastAsia="仿宋" w:cs="仿宋"/>
                <w:bCs/>
                <w:szCs w:val="21"/>
              </w:rPr>
              <w:t>构成行政违法的，依照有关环境保护法律法规和规定，予以行政处罚；</w:t>
            </w:r>
          </w:p>
          <w:p>
            <w:pPr>
              <w:widowControl w:val="0"/>
              <w:numPr>
                <w:ilvl w:val="0"/>
                <w:numId w:val="2"/>
              </w:numPr>
              <w:spacing w:line="300" w:lineRule="exact"/>
              <w:ind w:firstLine="420" w:firstLineChars="200"/>
              <w:rPr>
                <w:rFonts w:ascii="仿宋" w:hAnsi="仿宋" w:eastAsia="仿宋" w:cs="仿宋"/>
                <w:bCs/>
                <w:szCs w:val="21"/>
              </w:rPr>
            </w:pPr>
            <w:r>
              <w:rPr>
                <w:rFonts w:hint="eastAsia" w:ascii="仿宋" w:hAnsi="仿宋" w:eastAsia="仿宋" w:cs="仿宋"/>
                <w:bCs/>
                <w:szCs w:val="21"/>
              </w:rPr>
              <w:t>构成环境侵权的，依法承担环境侵权责任；</w:t>
            </w:r>
          </w:p>
          <w:p>
            <w:pPr>
              <w:widowControl w:val="0"/>
              <w:numPr>
                <w:ilvl w:val="0"/>
                <w:numId w:val="2"/>
              </w:numPr>
              <w:spacing w:line="300" w:lineRule="exact"/>
              <w:ind w:firstLine="420" w:firstLineChars="200"/>
              <w:rPr>
                <w:rFonts w:ascii="仿宋" w:hAnsi="仿宋" w:eastAsia="仿宋" w:cs="仿宋"/>
                <w:bCs/>
                <w:szCs w:val="21"/>
              </w:rPr>
            </w:pPr>
            <w:r>
              <w:rPr>
                <w:rFonts w:hint="eastAsia" w:ascii="仿宋" w:hAnsi="仿宋" w:eastAsia="仿宋" w:cs="仿宋"/>
                <w:bCs/>
                <w:szCs w:val="21"/>
              </w:rPr>
              <w:t>涉嫌构成犯罪的，依法移送司法机关。</w:t>
            </w:r>
          </w:p>
          <w:p>
            <w:pPr>
              <w:widowControl w:val="0"/>
              <w:spacing w:line="300" w:lineRule="exact"/>
              <w:ind w:firstLine="420" w:firstLineChars="200"/>
              <w:rPr>
                <w:rFonts w:ascii="仿宋" w:hAnsi="仿宋" w:eastAsia="仿宋" w:cs="仿宋"/>
                <w:bCs/>
                <w:szCs w:val="21"/>
              </w:rPr>
            </w:pPr>
            <w:r>
              <w:rPr>
                <w:rFonts w:ascii="仿宋" w:hAnsi="仿宋" w:eastAsia="仿宋" w:cs="仿宋"/>
                <w:bCs/>
                <w:szCs w:val="21"/>
              </w:rPr>
              <w:t xml:space="preserve">   </w:t>
            </w:r>
          </w:p>
          <w:p>
            <w:pPr>
              <w:widowControl w:val="0"/>
              <w:tabs>
                <w:tab w:val="center" w:pos="4153"/>
                <w:tab w:val="right" w:pos="8306"/>
              </w:tabs>
              <w:adjustRightInd w:val="0"/>
              <w:snapToGrid w:val="0"/>
              <w:spacing w:line="300" w:lineRule="exact"/>
              <w:rPr>
                <w:rFonts w:ascii="仿宋" w:hAnsi="仿宋" w:eastAsia="仿宋" w:cs="仿宋"/>
                <w:bCs/>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审批办、支队及各分局承担相应职责的机构</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szCs w:val="21"/>
              </w:rPr>
              <w:t>相关项目建设企业、环评文件技术企业、环评文件编制人员</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环评文件及批文提出的环境保护措施、环境管理要求等落实情况；</w:t>
            </w:r>
          </w:p>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建设项目投入生产或者使用后所产生的环境影响；</w:t>
            </w:r>
          </w:p>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建设项目环评文件是否存在基础资料明显不实，内容存在重大缺陷、遗漏或者虚假，环境影响评价结论不正确或者不合理等严重质量问题；</w:t>
            </w:r>
          </w:p>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建设项目是否存在降级管理或</w:t>
            </w:r>
            <w:r>
              <w:rPr>
                <w:rFonts w:hint="eastAsia" w:ascii="仿宋" w:hAnsi="仿宋" w:eastAsia="仿宋" w:cs="仿宋"/>
                <w:bCs/>
                <w:szCs w:val="21"/>
              </w:rPr>
              <w:t>环境影响登记表未依法备案的问题。</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34</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对规划实施过程中产生重大不良环境影响的行政检查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《规划环境影响评价条例》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r>
              <w:rPr>
                <w:rFonts w:hint="eastAsia" w:ascii="仿宋" w:hAnsi="仿宋" w:eastAsia="仿宋" w:cs="仿宋"/>
                <w:bCs/>
                <w:szCs w:val="21"/>
              </w:rPr>
              <w:t>第二十八条</w:t>
            </w:r>
            <w:r>
              <w:rPr>
                <w:rFonts w:ascii="仿宋" w:hAnsi="仿宋" w:eastAsia="仿宋" w:cs="仿宋"/>
                <w:bCs/>
                <w:szCs w:val="21"/>
              </w:rPr>
              <w:t xml:space="preserve"> </w:t>
            </w:r>
            <w:r>
              <w:rPr>
                <w:rFonts w:hint="eastAsia" w:ascii="仿宋" w:hAnsi="仿宋" w:eastAsia="仿宋" w:cs="仿宋"/>
                <w:bCs/>
                <w:szCs w:val="21"/>
              </w:rPr>
              <w:t>环境保护主管部门发现规划实施过程中产生重大不良环境影响的，应当及时进行核查。经核查属实的，向规划审批机关提出采取改进措施或者修订规划的建议。</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审批办、支队及各分局承担相应职责的机构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规划环评文件技术企业、规划环评文件编制人员</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核查相关规划环评文件、审查意见提出的环保措施、环境风险防范措施等落实情况和落实过程中产生的不良影响</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35</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kern w:val="0"/>
                <w:szCs w:val="21"/>
              </w:rPr>
              <w:t>对环境影响报告书（表）编制单位和编制人员的行政检查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kern w:val="0"/>
                <w:szCs w:val="21"/>
              </w:rPr>
            </w:pPr>
            <w:r>
              <w:rPr>
                <w:rFonts w:hint="eastAsia" w:ascii="仿宋" w:hAnsi="仿宋" w:eastAsia="仿宋" w:cs="仿宋"/>
                <w:b/>
                <w:bCs/>
                <w:kern w:val="0"/>
                <w:szCs w:val="21"/>
              </w:rPr>
              <w:t>《建设项目环境影响报告书（表）编制监督管理办法》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第六条</w:t>
            </w:r>
            <w:r>
              <w:rPr>
                <w:rFonts w:ascii="仿宋" w:hAnsi="仿宋" w:eastAsia="仿宋" w:cs="仿宋"/>
                <w:kern w:val="0"/>
                <w:szCs w:val="21"/>
              </w:rPr>
              <w:t xml:space="preserve"> </w:t>
            </w:r>
            <w:r>
              <w:rPr>
                <w:rFonts w:hint="eastAsia" w:ascii="仿宋" w:hAnsi="仿宋" w:eastAsia="仿宋" w:cs="仿宋"/>
                <w:kern w:val="0"/>
                <w:szCs w:val="21"/>
              </w:rPr>
              <w:t>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r>
              <w:rPr>
                <w:rFonts w:hint="eastAsia" w:ascii="仿宋" w:hAnsi="仿宋" w:eastAsia="仿宋" w:cs="仿宋"/>
                <w:kern w:val="0"/>
                <w:szCs w:val="21"/>
              </w:rPr>
              <w:t>第二十三条</w:t>
            </w:r>
            <w:r>
              <w:rPr>
                <w:rFonts w:ascii="仿宋" w:hAnsi="仿宋" w:eastAsia="仿宋" w:cs="仿宋"/>
                <w:kern w:val="0"/>
                <w:szCs w:val="21"/>
              </w:rPr>
              <w:t xml:space="preserve"> </w:t>
            </w:r>
            <w:r>
              <w:rPr>
                <w:rFonts w:hint="eastAsia" w:ascii="仿宋" w:hAnsi="仿宋" w:eastAsia="仿宋" w:cs="仿宋"/>
                <w:kern w:val="0"/>
                <w:szCs w:val="21"/>
              </w:rPr>
              <w:t>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审批办、支队</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szCs w:val="21"/>
              </w:rPr>
              <w:t>相关项目建设企业、环评编制企业、环评编制人员、项目环评文件。</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p>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对建设项目环境影响文件质量开展技术复核，对发现一般质量问题进行通报并作失信记分。对严重质量问题移交执法机构查处。</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5"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36</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对环境监测质量的审核和检查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《环境监测管理办法》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第十三条</w:t>
            </w:r>
            <w:r>
              <w:rPr>
                <w:rFonts w:ascii="仿宋" w:hAnsi="仿宋" w:eastAsia="仿宋" w:cs="仿宋"/>
                <w:szCs w:val="21"/>
              </w:rPr>
              <w:t xml:space="preserve"> </w:t>
            </w:r>
            <w:r>
              <w:rPr>
                <w:rFonts w:hint="eastAsia" w:ascii="仿宋" w:hAnsi="仿宋" w:eastAsia="仿宋" w:cs="仿宋"/>
                <w:szCs w:val="21"/>
              </w:rPr>
              <w:t>县级以上环境保护部门应当对本行政区域内的环境监测质量进行审核和检查。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监测科、支队及各分局承担相应职责的机构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排污企业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排污单位环境监测质量的审核检查，包括排污单位是否按照国家环境监测技术规范要求进行环境监测，是否建立环境监测质量管理体系，是否对环境监测实施全过程质量管理等</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overflowPunct w:val="0"/>
              <w:topLinePunct/>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37</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对环境监测机构、从事环境监测设备运营维护的机构进行检查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第十七条</w:t>
            </w:r>
            <w:r>
              <w:rPr>
                <w:rFonts w:ascii="仿宋" w:hAnsi="仿宋" w:eastAsia="仿宋" w:cs="仿宋"/>
                <w:szCs w:val="21"/>
              </w:rPr>
              <w:t xml:space="preserve"> </w:t>
            </w:r>
            <w:r>
              <w:rPr>
                <w:rFonts w:hint="eastAsia" w:ascii="仿宋" w:hAnsi="仿宋" w:eastAsia="仿宋" w:cs="仿宋"/>
                <w:szCs w:val="21"/>
              </w:rPr>
              <w:t>国家建立、健全环境监测制度。国务院环境保护主管部门制定监测规范，会同有关部门组织监测网络，统一规划国家环境质量监测站（点）的设置，建立监测数据共享机制，加强对环境监测的管理。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有关行业、专业等各类环境质量监测站（点）的设置应当符合</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法律法规规定和监测规范的要求。</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监测机构应当使用符合国家标准的监测设备，遵守监测规范。</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监测机构及其负责人对监测数据的真实性和准确性负责。</w:t>
            </w:r>
          </w:p>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2.</w:t>
            </w:r>
            <w:r>
              <w:rPr>
                <w:rFonts w:hint="eastAsia" w:ascii="仿宋" w:hAnsi="仿宋" w:eastAsia="仿宋" w:cs="仿宋"/>
                <w:b/>
                <w:bCs/>
                <w:szCs w:val="21"/>
              </w:rPr>
              <w:t>《湖南省环境保护条例》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r>
              <w:rPr>
                <w:rFonts w:hint="eastAsia" w:ascii="仿宋" w:hAnsi="仿宋" w:eastAsia="仿宋" w:cs="仿宋"/>
                <w:bCs/>
                <w:szCs w:val="21"/>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bCs/>
                <w:szCs w:val="21"/>
              </w:rPr>
              <w:t>被检查者应当配合检查，如实反映情况，提供必要的资料。</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监测科、支队、事务中心及各分局承担相应职责的机构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（第三方）生态环境监测服务机构</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全省社会化生态环境监测机构是否使用符合国家标准的监测设备，遵守监测规范，对监测数据是否存在弄虚作假情形进行判定等</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与省市场监督管理局联合开展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38</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对生态环境统计的监督检查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b/>
                <w:bCs/>
                <w:szCs w:val="21"/>
              </w:rPr>
              <w:t>《生态环境统计管理办法》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第四十一条</w:t>
            </w:r>
            <w:r>
              <w:rPr>
                <w:rFonts w:ascii="仿宋" w:hAnsi="仿宋" w:eastAsia="仿宋" w:cs="仿宋"/>
                <w:szCs w:val="21"/>
              </w:rPr>
              <w:t xml:space="preserve"> </w:t>
            </w:r>
            <w:r>
              <w:rPr>
                <w:rFonts w:hint="eastAsia" w:ascii="仿宋" w:hAnsi="仿宋" w:eastAsia="仿宋" w:cs="仿宋"/>
                <w:szCs w:val="21"/>
              </w:rPr>
              <w:t>各级生态环境主管部门应当建立监督检查工作机制和相关制度，组织开展生态环境统计监督检查工作。</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监督检查事项包括：</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（一）生态环境主管部门遵守、执行生态环境统计法律法规规章情况；</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（二）生态环境主管部门建立防范和惩治生态环境统计造假、弄虚作假责任制情况；</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（三）生态环境统计调查对象遵守生态环境统计法律法规规章、统计调查制度情况；</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（四）法律法规规章规定的其他事项。</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监测科、事务中心、支队及各分局承担相应职责的机构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生态环境统计调查对象的企业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生态环境统计调查对象的监督检查，包括调查表是否按照规范填报，调查表数据是否存在弄虚作假，调查表数据质量情况等</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8"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39</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kern w:val="0"/>
                <w:szCs w:val="21"/>
              </w:rPr>
              <w:t>对建设项目环境保护设施设计、施工、验收、投入生产或者使用情况，以及有关环境影响评价文件确定的其他环境保护措施的落实情况的行政检查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kern w:val="0"/>
                <w:szCs w:val="21"/>
              </w:rPr>
            </w:pPr>
            <w:r>
              <w:rPr>
                <w:rFonts w:ascii="仿宋" w:hAnsi="仿宋" w:eastAsia="仿宋" w:cs="仿宋"/>
                <w:b/>
                <w:bCs/>
                <w:kern w:val="0"/>
                <w:szCs w:val="21"/>
              </w:rPr>
              <w:t>1.</w:t>
            </w:r>
            <w:r>
              <w:rPr>
                <w:rFonts w:hint="eastAsia" w:ascii="仿宋" w:hAnsi="仿宋" w:eastAsia="仿宋" w:cs="仿宋"/>
                <w:b/>
                <w:bCs/>
                <w:kern w:val="0"/>
                <w:szCs w:val="21"/>
              </w:rPr>
              <w:t>《建设项目环境保护管理条例》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第二十条</w:t>
            </w:r>
            <w:r>
              <w:rPr>
                <w:rFonts w:ascii="仿宋" w:hAnsi="仿宋" w:eastAsia="仿宋" w:cs="仿宋"/>
                <w:kern w:val="0"/>
                <w:szCs w:val="21"/>
              </w:rPr>
              <w:t xml:space="preserve"> </w:t>
            </w:r>
            <w:r>
              <w:rPr>
                <w:rFonts w:hint="eastAsia" w:ascii="仿宋" w:hAnsi="仿宋" w:eastAsia="仿宋" w:cs="仿宋"/>
                <w:kern w:val="0"/>
                <w:szCs w:val="21"/>
              </w:rPr>
              <w:t>环境保护行政主管部门应当对建设项目环境保护设施设计、施工、验收、投入生产或者使用情况，以及有关环境影响评价文件确定的其他环境保护措施的落实情况，进行监督检查。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kern w:val="0"/>
                <w:szCs w:val="21"/>
              </w:rPr>
            </w:pPr>
            <w:r>
              <w:rPr>
                <w:rFonts w:hint="eastAsia" w:ascii="仿宋" w:hAnsi="仿宋" w:eastAsia="仿宋" w:cs="仿宋"/>
                <w:kern w:val="0"/>
                <w:szCs w:val="21"/>
              </w:rPr>
              <w:t>环境保护行政主管部门应当将建设项目有关环境违法信息记入社会诚信档案，及时向社会公开违法者名单。</w:t>
            </w:r>
          </w:p>
          <w:p>
            <w:pPr>
              <w:widowControl w:val="0"/>
              <w:tabs>
                <w:tab w:val="center" w:pos="4153"/>
                <w:tab w:val="right" w:pos="8306"/>
              </w:tabs>
              <w:adjustRightInd w:val="0"/>
              <w:snapToGrid w:val="0"/>
              <w:spacing w:line="300" w:lineRule="exact"/>
              <w:rPr>
                <w:rFonts w:ascii="仿宋" w:hAnsi="仿宋" w:eastAsia="仿宋" w:cs="仿宋"/>
                <w:b/>
                <w:bCs/>
                <w:szCs w:val="21"/>
                <w:lang w:val="zh-CN"/>
              </w:rPr>
            </w:pPr>
            <w:r>
              <w:rPr>
                <w:rFonts w:ascii="仿宋" w:hAnsi="仿宋" w:eastAsia="仿宋" w:cs="仿宋"/>
                <w:b/>
                <w:bCs/>
                <w:szCs w:val="21"/>
              </w:rPr>
              <w:t>2.</w:t>
            </w:r>
            <w:r>
              <w:rPr>
                <w:rFonts w:hint="eastAsia" w:ascii="仿宋" w:hAnsi="仿宋" w:eastAsia="仿宋" w:cs="仿宋"/>
                <w:b/>
                <w:bCs/>
                <w:szCs w:val="21"/>
                <w:lang w:val="zh-CN"/>
              </w:rPr>
              <w:t>《建设项目环境影响登记表备案管理办法》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lang w:val="zh-CN"/>
              </w:rPr>
              <w:t>第十七条</w:t>
            </w:r>
            <w:r>
              <w:rPr>
                <w:rFonts w:ascii="仿宋" w:hAnsi="仿宋" w:eastAsia="仿宋" w:cs="仿宋"/>
                <w:szCs w:val="21"/>
              </w:rPr>
              <w:t xml:space="preserve"> </w:t>
            </w:r>
            <w:r>
              <w:rPr>
                <w:rFonts w:hint="eastAsia" w:ascii="仿宋" w:hAnsi="仿宋" w:eastAsia="仿宋" w:cs="仿宋"/>
                <w:szCs w:val="21"/>
              </w:rPr>
              <w:t>环境保护主管部门或者其他负有环境保护监督管理职责的部门可以采取抽查、根据举报进行检查等方式，对建设单位遵守本办法规定的情况开展监督检查，并根据监督检查认定的事实，按照以下情形处理：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（一）构成行政违法的，依照有关环境保护法律法规和规定，予以行政处罚；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（二）构成环境侵权的，依法承担环境侵权责任；</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（三）涉嫌构成犯罪的，依法移送司法机关。</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支队及各分局承担相应职责的机构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kern w:val="0"/>
                <w:szCs w:val="21"/>
              </w:rPr>
              <w:t>对环境有影响的建设项目的企业</w:t>
            </w:r>
          </w:p>
          <w:p>
            <w:pPr>
              <w:widowControl w:val="0"/>
              <w:overflowPunct w:val="0"/>
              <w:topLinePunct/>
              <w:adjustRightInd w:val="0"/>
              <w:snapToGrid w:val="0"/>
              <w:spacing w:line="300" w:lineRule="exact"/>
              <w:rPr>
                <w:rFonts w:ascii="仿宋" w:hAnsi="仿宋" w:eastAsia="仿宋" w:cs="仿宋"/>
                <w:szCs w:val="21"/>
              </w:rPr>
            </w:pPr>
          </w:p>
        </w:tc>
        <w:tc>
          <w:tcPr>
            <w:tcW w:w="1370" w:type="dxa"/>
            <w:vAlign w:val="center"/>
          </w:tcPr>
          <w:p>
            <w:pPr>
              <w:widowControl w:val="0"/>
              <w:numPr>
                <w:ilvl w:val="0"/>
                <w:numId w:val="3"/>
              </w:numPr>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kern w:val="0"/>
                <w:szCs w:val="21"/>
              </w:rPr>
              <w:t>对建设项目环境保护设施设计、施工、验收、投入生产或者使用情况，以及有关环境影响评价文件确定的其他环境保护措施的落实情况进行监督检查</w:t>
            </w:r>
          </w:p>
          <w:p>
            <w:pPr>
              <w:widowControl w:val="0"/>
              <w:numPr>
                <w:ilvl w:val="0"/>
                <w:numId w:val="3"/>
              </w:numPr>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kern w:val="0"/>
                <w:szCs w:val="21"/>
              </w:rPr>
              <w:t>对</w:t>
            </w:r>
            <w:r>
              <w:rPr>
                <w:rFonts w:hint="eastAsia" w:ascii="仿宋" w:hAnsi="仿宋" w:eastAsia="仿宋" w:cs="仿宋"/>
                <w:kern w:val="0"/>
                <w:szCs w:val="21"/>
                <w:lang w:val="zh-CN"/>
              </w:rPr>
              <w:t>建设项目的环境影响登记表备案</w:t>
            </w:r>
            <w:r>
              <w:rPr>
                <w:rFonts w:hint="eastAsia" w:ascii="仿宋" w:hAnsi="仿宋" w:eastAsia="仿宋" w:cs="仿宋"/>
                <w:kern w:val="0"/>
                <w:szCs w:val="21"/>
              </w:rPr>
              <w:t>情况进行监督检查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overflowPunct w:val="0"/>
              <w:topLinePunct/>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4"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szCs w:val="21"/>
              </w:rPr>
              <w:t>40</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对污染源自动监控设施现场的监督检查；对自动监控系统的建设、运行和维护等的行政检查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《中华人民共和国水污染防治法》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实行排污许可管理的企业事业单位和其他生产经营者应当对监测数据的真实性和准确性负责。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环境保护主管部门发现重点排污单位的水污染物排放自动监测设备传输数据异常，应当及时进行调查。</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《污染源自动监控设施现场监督检查办法》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第四条</w:t>
            </w:r>
            <w:r>
              <w:rPr>
                <w:rFonts w:ascii="仿宋" w:hAnsi="仿宋" w:eastAsia="仿宋" w:cs="仿宋"/>
                <w:szCs w:val="21"/>
              </w:rPr>
              <w:t xml:space="preserve"> </w:t>
            </w:r>
            <w:r>
              <w:rPr>
                <w:rFonts w:hint="eastAsia" w:ascii="仿宋" w:hAnsi="仿宋" w:eastAsia="仿宋" w:cs="仿宋"/>
                <w:szCs w:val="21"/>
              </w:rPr>
              <w:t>污染源自动监控设施的现场监督检查，由各级环境保护主管部门或者其委托的行使现场监督检查职责的机构（以下统称监督检查机构）具体负责。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省级以下环境保护主管部门对污染源自动监控设施进行监督管理和现场监督检查的权限划分，由省级环境保护主管部门确定。</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《污染源自动监控管理办法》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第六条第（三）项</w:t>
            </w:r>
            <w:r>
              <w:rPr>
                <w:rFonts w:ascii="仿宋" w:hAnsi="仿宋" w:eastAsia="仿宋" w:cs="仿宋"/>
                <w:szCs w:val="21"/>
              </w:rPr>
              <w:t xml:space="preserve"> </w:t>
            </w:r>
            <w:r>
              <w:rPr>
                <w:rFonts w:hint="eastAsia" w:ascii="仿宋" w:hAnsi="仿宋" w:eastAsia="仿宋" w:cs="仿宋"/>
                <w:szCs w:val="21"/>
              </w:rPr>
              <w:t>环境监察机构负责以下工作：（三）对自动监控系统的建设、运行和维护等进行监督检查。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大气科、水科、监测科、支队、事务中心及各分局承担相应职责的机构</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重点排污的企业和其他生产经营者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数据监测异常</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不受年度频次上限限制</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省政府办公厅《关于严格规范涉企行政检查的实施方案》第三大点第十小点：优化触发式行政检查机制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widowControl w:val="0"/>
              <w:spacing w:line="300" w:lineRule="exact"/>
              <w:jc w:val="center"/>
              <w:rPr>
                <w:rFonts w:ascii="仿宋" w:hAnsi="仿宋" w:eastAsia="仿宋" w:cs="仿宋"/>
                <w:szCs w:val="21"/>
              </w:rPr>
            </w:pPr>
            <w:r>
              <w:rPr>
                <w:rFonts w:ascii="仿宋" w:hAnsi="仿宋" w:eastAsia="仿宋" w:cs="仿宋"/>
                <w:szCs w:val="21"/>
              </w:rPr>
              <w:t>41</w:t>
            </w:r>
          </w:p>
        </w:tc>
        <w:tc>
          <w:tcPr>
            <w:tcW w:w="1723" w:type="dxa"/>
            <w:vAlign w:val="center"/>
          </w:tcPr>
          <w:p>
            <w:pPr>
              <w:spacing w:line="300" w:lineRule="exact"/>
              <w:jc w:val="center"/>
              <w:textAlignment w:val="center"/>
              <w:rPr>
                <w:rFonts w:ascii="仿宋" w:hAnsi="仿宋" w:eastAsia="仿宋" w:cs="仿宋"/>
                <w:szCs w:val="21"/>
              </w:rPr>
            </w:pPr>
            <w:r>
              <w:rPr>
                <w:rFonts w:hint="eastAsia" w:ascii="仿宋" w:hAnsi="仿宋" w:eastAsia="仿宋" w:cs="仿宋"/>
                <w:szCs w:val="21"/>
              </w:rPr>
              <w:t>对企业事业单位环境风险防范和环境安全隐患排查治理工作的行政检查</w:t>
            </w:r>
          </w:p>
        </w:tc>
        <w:tc>
          <w:tcPr>
            <w:tcW w:w="4009" w:type="dxa"/>
            <w:vAlign w:val="center"/>
          </w:tcPr>
          <w:p>
            <w:pPr>
              <w:spacing w:line="300" w:lineRule="exact"/>
              <w:textAlignment w:val="center"/>
              <w:rPr>
                <w:rFonts w:ascii="仿宋" w:hAnsi="仿宋" w:eastAsia="仿宋" w:cs="仿宋"/>
                <w:szCs w:val="21"/>
              </w:rPr>
            </w:pPr>
            <w:r>
              <w:rPr>
                <w:rFonts w:hint="eastAsia" w:ascii="仿宋" w:hAnsi="仿宋" w:eastAsia="仿宋" w:cs="仿宋"/>
                <w:b/>
                <w:bCs/>
                <w:szCs w:val="21"/>
              </w:rPr>
              <w:t>《突发环境事件应急管理办法》</w:t>
            </w:r>
            <w:r>
              <w:rPr>
                <w:rFonts w:ascii="仿宋" w:hAnsi="仿宋" w:eastAsia="仿宋" w:cs="仿宋"/>
                <w:b/>
                <w:bCs/>
                <w:szCs w:val="21"/>
              </w:rPr>
              <w:t xml:space="preserve"> </w:t>
            </w:r>
            <w:r>
              <w:rPr>
                <w:rFonts w:ascii="仿宋" w:hAnsi="仿宋" w:eastAsia="仿宋" w:cs="仿宋"/>
                <w:szCs w:val="21"/>
              </w:rPr>
              <w:t xml:space="preserve"> </w:t>
            </w:r>
          </w:p>
          <w:p>
            <w:pPr>
              <w:widowControl w:val="0"/>
              <w:spacing w:line="300" w:lineRule="exact"/>
              <w:ind w:firstLine="420" w:firstLineChars="200"/>
              <w:rPr>
                <w:rFonts w:hint="eastAsia" w:ascii="仿宋" w:hAnsi="仿宋" w:eastAsia="仿宋" w:cs="仿宋"/>
                <w:szCs w:val="21"/>
              </w:rPr>
            </w:pPr>
            <w:r>
              <w:rPr>
                <w:rFonts w:hint="eastAsia" w:ascii="仿宋" w:hAnsi="仿宋" w:eastAsia="仿宋" w:cs="仿宋"/>
                <w:szCs w:val="21"/>
              </w:rPr>
              <w:t>第十二条</w:t>
            </w:r>
            <w:r>
              <w:rPr>
                <w:rFonts w:ascii="仿宋" w:hAnsi="仿宋" w:eastAsia="仿宋" w:cs="仿宋"/>
                <w:szCs w:val="21"/>
              </w:rPr>
              <w:t> </w:t>
            </w:r>
            <w:r>
              <w:rPr>
                <w:rFonts w:hint="eastAsia" w:ascii="仿宋" w:hAnsi="仿宋" w:eastAsia="仿宋" w:cs="仿宋"/>
                <w:szCs w:val="21"/>
              </w:rPr>
              <w:t>县级以上地方环境保护主管部门应当对企业事业单位环境风险防范和环境安全隐患排查治理工作进行抽查或者突击检查，将存在重大环境安全隐患且整治不力的企业信息纳入社会诚信档案</w:t>
            </w:r>
            <w:r>
              <w:rPr>
                <w:rFonts w:ascii="仿宋" w:hAnsi="仿宋" w:eastAsia="仿宋" w:cs="仿宋"/>
                <w:szCs w:val="21"/>
              </w:rPr>
              <w:t xml:space="preserve">, </w:t>
            </w:r>
            <w:r>
              <w:rPr>
                <w:rFonts w:hint="eastAsia" w:ascii="仿宋" w:hAnsi="仿宋" w:eastAsia="仿宋" w:cs="仿宋"/>
                <w:szCs w:val="21"/>
              </w:rPr>
              <w:t>并可以通报行业主管部门、投资主管部门、证券监督管理机构以及有关金融机构。</w:t>
            </w:r>
          </w:p>
          <w:p>
            <w:pPr>
              <w:spacing w:line="300" w:lineRule="exact"/>
              <w:ind w:firstLine="420" w:firstLineChars="200"/>
              <w:textAlignment w:val="center"/>
              <w:rPr>
                <w:rFonts w:ascii="仿宋" w:hAnsi="仿宋" w:eastAsia="仿宋" w:cs="仿宋"/>
                <w:szCs w:val="21"/>
              </w:rPr>
            </w:pPr>
            <w:r>
              <w:rPr>
                <w:rFonts w:ascii="仿宋" w:hAnsi="仿宋" w:eastAsia="仿宋" w:cs="仿宋"/>
                <w:bCs/>
                <w:szCs w:val="21"/>
              </w:rPr>
              <w:t xml:space="preserve"> </w:t>
            </w:r>
          </w:p>
        </w:tc>
        <w:tc>
          <w:tcPr>
            <w:tcW w:w="1573"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tabs>
                <w:tab w:val="center" w:pos="4153"/>
                <w:tab w:val="right" w:pos="8306"/>
              </w:tabs>
              <w:adjustRightInd w:val="0"/>
              <w:snapToGrid w:val="0"/>
              <w:spacing w:line="300" w:lineRule="exact"/>
              <w:rPr>
                <w:rFonts w:ascii="仿宋" w:hAnsi="仿宋" w:eastAsia="仿宋" w:cs="仿宋"/>
                <w:spacing w:val="-10"/>
                <w:szCs w:val="21"/>
              </w:rPr>
            </w:pPr>
            <w:r>
              <w:rPr>
                <w:rFonts w:hint="eastAsia" w:ascii="仿宋" w:hAnsi="仿宋" w:eastAsia="仿宋" w:cs="仿宋"/>
                <w:spacing w:val="-10"/>
                <w:szCs w:val="21"/>
              </w:rPr>
              <w:t>支队、事务中心及各分局承担相应职责的机构</w:t>
            </w:r>
          </w:p>
        </w:tc>
        <w:tc>
          <w:tcPr>
            <w:tcW w:w="1246"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存在环境污染风险的企业</w:t>
            </w:r>
          </w:p>
        </w:tc>
        <w:tc>
          <w:tcPr>
            <w:tcW w:w="1370" w:type="dxa"/>
            <w:vAlign w:val="center"/>
          </w:tcPr>
          <w:p>
            <w:pPr>
              <w:spacing w:line="300" w:lineRule="exact"/>
              <w:jc w:val="center"/>
              <w:textAlignment w:val="center"/>
              <w:rPr>
                <w:rFonts w:ascii="仿宋" w:hAnsi="仿宋" w:eastAsia="仿宋" w:cs="仿宋"/>
                <w:szCs w:val="21"/>
              </w:rPr>
            </w:pPr>
            <w:r>
              <w:rPr>
                <w:rFonts w:hint="eastAsia" w:ascii="仿宋" w:hAnsi="仿宋" w:eastAsia="仿宋" w:cs="仿宋"/>
                <w:szCs w:val="21"/>
              </w:rPr>
              <w:t>环境风险防范情况和环境安全隐患排查治理工作开展情况</w:t>
            </w:r>
          </w:p>
        </w:tc>
        <w:tc>
          <w:tcPr>
            <w:tcW w:w="1203" w:type="dxa"/>
            <w:vAlign w:val="center"/>
          </w:tcPr>
          <w:p>
            <w:pPr>
              <w:spacing w:line="300" w:lineRule="exact"/>
              <w:jc w:val="center"/>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spacing w:line="300" w:lineRule="exact"/>
              <w:jc w:val="left"/>
              <w:textAlignment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val="0"/>
              <w:adjustRightInd w:val="0"/>
              <w:snapToGrid w:val="0"/>
              <w:spacing w:line="300" w:lineRule="exact"/>
              <w:jc w:val="center"/>
              <w:textAlignment w:val="center"/>
              <w:rPr>
                <w:rFonts w:ascii="仿宋" w:hAnsi="仿宋" w:eastAsia="仿宋" w:cs="仿宋"/>
                <w:kern w:val="0"/>
                <w:szCs w:val="21"/>
              </w:rPr>
            </w:pPr>
            <w:r>
              <w:rPr>
                <w:rFonts w:ascii="仿宋" w:hAnsi="仿宋" w:eastAsia="仿宋" w:cs="仿宋"/>
                <w:kern w:val="0"/>
                <w:szCs w:val="21"/>
              </w:rPr>
              <w:t>42</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对畜禽养殖污染防治情况的行政检查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b/>
                <w:bCs/>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《畜禽规模养殖污染防治条例》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第二十三条</w:t>
            </w:r>
            <w:r>
              <w:rPr>
                <w:rFonts w:ascii="仿宋" w:hAnsi="仿宋" w:eastAsia="仿宋" w:cs="仿宋"/>
                <w:szCs w:val="21"/>
              </w:rPr>
              <w:t xml:space="preserve"> </w:t>
            </w:r>
            <w:r>
              <w:rPr>
                <w:rFonts w:hint="eastAsia" w:ascii="仿宋" w:hAnsi="仿宋" w:eastAsia="仿宋" w:cs="仿宋"/>
                <w:szCs w:val="21"/>
              </w:rPr>
              <w:t>县级以上人民政府环境保护主管部门应当依据职责对畜禽养殖污染防治情况进行监督检查，并加强对畜禽养殖环境污染的监测。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乡镇人民政府、基层群众自治组织发现畜禽养殖环境污染行为的，应当及时制止和报告。</w:t>
            </w:r>
          </w:p>
          <w:p>
            <w:pPr>
              <w:widowControl w:val="0"/>
              <w:tabs>
                <w:tab w:val="center" w:pos="4153"/>
                <w:tab w:val="right" w:pos="8306"/>
              </w:tabs>
              <w:adjustRightInd w:val="0"/>
              <w:snapToGrid w:val="0"/>
              <w:spacing w:line="300" w:lineRule="exact"/>
              <w:rPr>
                <w:rFonts w:ascii="仿宋" w:hAnsi="仿宋" w:eastAsia="仿宋" w:cs="仿宋"/>
                <w:b/>
                <w:bCs/>
                <w:szCs w:val="21"/>
                <w:shd w:val="clear" w:color="auto" w:fill="FFFFFF"/>
              </w:rPr>
            </w:pPr>
            <w:r>
              <w:rPr>
                <w:rFonts w:ascii="仿宋" w:hAnsi="仿宋" w:eastAsia="仿宋" w:cs="仿宋"/>
                <w:b/>
                <w:bCs/>
                <w:szCs w:val="21"/>
                <w:shd w:val="clear" w:color="auto" w:fill="FFFFFF"/>
              </w:rPr>
              <w:t>3.</w:t>
            </w:r>
            <w:r>
              <w:rPr>
                <w:rFonts w:hint="eastAsia" w:ascii="仿宋" w:hAnsi="仿宋" w:eastAsia="仿宋" w:cs="仿宋"/>
                <w:b/>
                <w:bCs/>
                <w:szCs w:val="21"/>
                <w:shd w:val="clear" w:color="auto" w:fill="FFFFFF"/>
              </w:rPr>
              <w:t>《湖南省环境保护条例》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被检查者应当配合检查，如实反映情况，提供必要的资料。</w:t>
            </w:r>
          </w:p>
        </w:tc>
        <w:tc>
          <w:tcPr>
            <w:tcW w:w="1573"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土科（农环站）、支队及各分局承担相应职责的机构</w:t>
            </w:r>
          </w:p>
        </w:tc>
        <w:tc>
          <w:tcPr>
            <w:tcW w:w="1246"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全省畜禽规模养殖场的经营主体</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重点检查畜禽规模养殖场粪污处理与污染防治设施设备建设运营情况、粪污收集储存转运情况、粪污综合利用情况等</w:t>
            </w:r>
          </w:p>
        </w:tc>
        <w:tc>
          <w:tcPr>
            <w:tcW w:w="1203" w:type="dxa"/>
            <w:vAlign w:val="center"/>
          </w:tcPr>
          <w:p>
            <w:pPr>
              <w:widowControl w:val="0"/>
              <w:adjustRightInd w:val="0"/>
              <w:snapToGrid w:val="0"/>
              <w:spacing w:line="300" w:lineRule="exact"/>
              <w:textAlignment w:val="center"/>
              <w:rPr>
                <w:rFonts w:ascii="仿宋" w:hAnsi="仿宋" w:eastAsia="仿宋" w:cs="仿宋"/>
                <w:bCs/>
                <w:kern w:val="0"/>
                <w:szCs w:val="21"/>
              </w:rPr>
            </w:pPr>
            <w:r>
              <w:rPr>
                <w:rFonts w:hint="eastAsia" w:ascii="仿宋" w:hAnsi="仿宋" w:eastAsia="仿宋" w:cs="仿宋"/>
                <w:szCs w:val="21"/>
              </w:rPr>
              <w:t>现场检查</w:t>
            </w:r>
          </w:p>
        </w:tc>
        <w:tc>
          <w:tcPr>
            <w:tcW w:w="1491" w:type="dxa"/>
            <w:vAlign w:val="center"/>
          </w:tcPr>
          <w:p>
            <w:pPr>
              <w:widowControl w:val="0"/>
              <w:adjustRightInd w:val="0"/>
              <w:snapToGrid w:val="0"/>
              <w:spacing w:line="300" w:lineRule="exact"/>
              <w:jc w:val="left"/>
              <w:textAlignment w:val="center"/>
              <w:rPr>
                <w:rFonts w:ascii="仿宋" w:hAnsi="仿宋" w:eastAsia="仿宋" w:cs="仿宋"/>
                <w:bCs/>
                <w:kern w:val="0"/>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kern w:val="0"/>
                <w:szCs w:val="21"/>
              </w:rPr>
            </w:pPr>
            <w:r>
              <w:rPr>
                <w:rFonts w:ascii="仿宋" w:hAnsi="仿宋" w:eastAsia="仿宋" w:cs="仿宋"/>
                <w:kern w:val="0"/>
                <w:szCs w:val="21"/>
              </w:rPr>
              <w:t>43</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对企业实施强制性清洁生产审核情况的行政检查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《中华人民共和国清洁生产促进法》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第三十九条</w:t>
            </w:r>
            <w:r>
              <w:rPr>
                <w:rFonts w:ascii="仿宋" w:hAnsi="仿宋" w:eastAsia="仿宋" w:cs="仿宋"/>
                <w:szCs w:val="21"/>
              </w:rPr>
              <w:t xml:space="preserve"> </w:t>
            </w:r>
            <w:r>
              <w:rPr>
                <w:rFonts w:hint="eastAsia" w:ascii="仿宋" w:hAnsi="仿宋" w:eastAsia="仿宋" w:cs="仿宋"/>
                <w:szCs w:val="21"/>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573" w:type="dxa"/>
            <w:vAlign w:val="center"/>
          </w:tcPr>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设区的市级生态环境主管部门</w:t>
            </w:r>
          </w:p>
        </w:tc>
        <w:tc>
          <w:tcPr>
            <w:tcW w:w="1599" w:type="dxa"/>
            <w:vAlign w:val="center"/>
          </w:tcPr>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监测科、支队、事务中心及各分局承担相应职责的机构</w:t>
            </w:r>
          </w:p>
        </w:tc>
        <w:tc>
          <w:tcPr>
            <w:tcW w:w="1246"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实施强制性清洁生产审核的企业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对企业实施强制性清洁生产审核情况进行检查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5998" w:type="dxa"/>
            <w:gridSpan w:val="10"/>
            <w:vAlign w:val="center"/>
          </w:tcPr>
          <w:p>
            <w:pPr>
              <w:spacing w:line="300" w:lineRule="exact"/>
              <w:jc w:val="left"/>
              <w:rPr>
                <w:rFonts w:ascii="仿宋" w:hAnsi="仿宋" w:eastAsia="仿宋" w:cs="仿宋"/>
                <w:szCs w:val="21"/>
              </w:rPr>
            </w:pPr>
            <w:r>
              <w:rPr>
                <w:rFonts w:hint="eastAsia" w:ascii="仿宋" w:hAnsi="仿宋" w:eastAsia="仿宋" w:cs="仿宋"/>
                <w:szCs w:val="21"/>
              </w:rPr>
              <w:t>说明：</w:t>
            </w:r>
          </w:p>
          <w:p>
            <w:pPr>
              <w:spacing w:line="300" w:lineRule="exact"/>
              <w:ind w:firstLine="420" w:firstLineChars="200"/>
              <w:jc w:val="lef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本清单根据有关法律法规规章立改废情况进行动态调整；</w:t>
            </w:r>
          </w:p>
          <w:p>
            <w:pPr>
              <w:spacing w:line="300" w:lineRule="exact"/>
              <w:ind w:firstLine="420" w:firstLineChars="200"/>
              <w:jc w:val="lef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严禁本系统行政执法机关对同一检查对象多头、重复检查；</w:t>
            </w:r>
          </w:p>
          <w:p>
            <w:pPr>
              <w:spacing w:line="300" w:lineRule="exact"/>
              <w:ind w:firstLine="420" w:firstLineChars="200"/>
              <w:jc w:val="lef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对于未列入清单的涉企行政检查事项，一律不得实施；</w:t>
            </w:r>
          </w:p>
          <w:p>
            <w:pPr>
              <w:spacing w:line="300" w:lineRule="exact"/>
              <w:ind w:firstLine="420" w:firstLineChars="200"/>
              <w:jc w:val="left"/>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违规实施的，企业有权拒绝接受检查，并可以向本机关行政执法监督机构（联系电话：</w:t>
            </w:r>
            <w:r>
              <w:rPr>
                <w:rFonts w:ascii="仿宋" w:hAnsi="仿宋" w:eastAsia="仿宋" w:cs="仿宋"/>
                <w:szCs w:val="21"/>
              </w:rPr>
              <w:t>0736-7224362</w:t>
            </w:r>
            <w:r>
              <w:rPr>
                <w:rFonts w:hint="eastAsia" w:ascii="仿宋" w:hAnsi="仿宋" w:eastAsia="仿宋" w:cs="仿宋"/>
                <w:szCs w:val="21"/>
              </w:rPr>
              <w:t>，电子邮箱：</w:t>
            </w:r>
            <w:r>
              <w:rPr>
                <w:rFonts w:ascii="仿宋" w:hAnsi="仿宋" w:eastAsia="仿宋" w:cs="仿宋"/>
                <w:szCs w:val="21"/>
              </w:rPr>
              <w:t>fgk7224362@163.com</w:t>
            </w:r>
            <w:r>
              <w:rPr>
                <w:rFonts w:hint="eastAsia" w:ascii="仿宋" w:hAnsi="仿宋" w:eastAsia="仿宋" w:cs="仿宋"/>
                <w:szCs w:val="21"/>
              </w:rPr>
              <w:t>）和市司法局（同级司法行政部门；联系电话：</w:t>
            </w:r>
            <w:r>
              <w:rPr>
                <w:rFonts w:ascii="仿宋" w:hAnsi="仿宋" w:eastAsia="仿宋" w:cs="仿宋"/>
                <w:szCs w:val="21"/>
              </w:rPr>
              <w:t>0736-</w:t>
            </w:r>
            <w:r>
              <w:rPr>
                <w:rFonts w:hint="default" w:ascii="????" w:hAnsi="????" w:cs="????"/>
                <w:kern w:val="0"/>
                <w:szCs w:val="21"/>
                <w:shd w:val="clear" w:color="auto" w:fill="FFFFFF"/>
                <w:lang w:val="en"/>
              </w:rPr>
              <w:t>7760133</w:t>
            </w:r>
            <w:r>
              <w:rPr>
                <w:rFonts w:hint="eastAsia" w:ascii="仿宋" w:hAnsi="仿宋" w:eastAsia="仿宋" w:cs="仿宋"/>
                <w:szCs w:val="21"/>
              </w:rPr>
              <w:t>，电子邮箱：</w:t>
            </w:r>
            <w:r>
              <w:rPr>
                <w:rFonts w:ascii="仿宋" w:hAnsi="仿宋" w:eastAsia="仿宋" w:cs="仿宋"/>
                <w:szCs w:val="21"/>
              </w:rPr>
              <w:t>cdssfjzfjdk@126.com</w:t>
            </w:r>
            <w:r>
              <w:rPr>
                <w:rFonts w:hint="eastAsia" w:ascii="仿宋" w:hAnsi="仿宋" w:eastAsia="仿宋" w:cs="仿宋"/>
                <w:szCs w:val="21"/>
              </w:rPr>
              <w:t>）举报。</w:t>
            </w:r>
          </w:p>
        </w:tc>
      </w:tr>
    </w:tbl>
    <w:p>
      <w:pPr>
        <w:widowControl w:val="0"/>
        <w:tabs>
          <w:tab w:val="center" w:pos="4153"/>
          <w:tab w:val="right" w:pos="8306"/>
        </w:tabs>
        <w:snapToGrid w:val="0"/>
        <w:spacing w:line="100" w:lineRule="exact"/>
        <w:rPr>
          <w:rFonts w:ascii="宋体" w:cs="宋体"/>
          <w:b/>
          <w:bCs/>
          <w:sz w:val="44"/>
          <w:szCs w:val="44"/>
          <w:shd w:val="clear" w:color="auto" w:fill="FFFFFF"/>
        </w:rPr>
      </w:pPr>
    </w:p>
    <w:sectPr>
      <w:footerReference r:id="rId3" w:type="default"/>
      <w:footerReference r:id="rId4" w:type="even"/>
      <w:pgSz w:w="16834" w:h="11909" w:orient="landscape"/>
      <w:pgMar w:top="1803" w:right="1440" w:bottom="1803" w:left="144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- 44 -</w:t>
    </w:r>
    <w:r>
      <w:rPr>
        <w:rStyle w:val="12"/>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24D6F"/>
    <w:multiLevelType w:val="singleLevel"/>
    <w:tmpl w:val="88424D6F"/>
    <w:lvl w:ilvl="0" w:tentative="0">
      <w:start w:val="1"/>
      <w:numFmt w:val="chineseCounting"/>
      <w:suff w:val="nothing"/>
      <w:lvlText w:val="（%1）"/>
      <w:lvlJc w:val="left"/>
      <w:rPr>
        <w:rFonts w:hint="eastAsia" w:cs="Times New Roman"/>
      </w:rPr>
    </w:lvl>
  </w:abstractNum>
  <w:abstractNum w:abstractNumId="1">
    <w:nsid w:val="FADF4367"/>
    <w:multiLevelType w:val="singleLevel"/>
    <w:tmpl w:val="FADF4367"/>
    <w:lvl w:ilvl="0" w:tentative="0">
      <w:start w:val="1"/>
      <w:numFmt w:val="decimal"/>
      <w:lvlText w:val="%1."/>
      <w:lvlJc w:val="left"/>
      <w:pPr>
        <w:tabs>
          <w:tab w:val="left" w:pos="312"/>
        </w:tabs>
      </w:pPr>
      <w:rPr>
        <w:rFonts w:cs="Times New Roman"/>
      </w:rPr>
    </w:lvl>
  </w:abstractNum>
  <w:abstractNum w:abstractNumId="2">
    <w:nsid w:val="FFF5B2B3"/>
    <w:multiLevelType w:val="singleLevel"/>
    <w:tmpl w:val="FFF5B2B3"/>
    <w:lvl w:ilvl="0" w:tentative="0">
      <w:start w:val="1"/>
      <w:numFmt w:val="decimal"/>
      <w:lvlText w:val="%1."/>
      <w:lvlJc w:val="left"/>
      <w:pPr>
        <w:tabs>
          <w:tab w:val="left" w:pos="312"/>
        </w:tabs>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jE4MzI2MjM5M2YyN2RmZTg3MzUzYzMzMzljMTcifQ=="/>
    <w:docVar w:name="KSO_WPS_MARK_KEY" w:val="df63a08d-d346-4d4a-8697-e20298cf7f74"/>
  </w:docVars>
  <w:rsids>
    <w:rsidRoot w:val="D7FB87B6"/>
    <w:rsid w:val="00014DB0"/>
    <w:rsid w:val="000A03E5"/>
    <w:rsid w:val="00160A19"/>
    <w:rsid w:val="001A3AB6"/>
    <w:rsid w:val="001E6986"/>
    <w:rsid w:val="00234A25"/>
    <w:rsid w:val="00276262"/>
    <w:rsid w:val="002B4071"/>
    <w:rsid w:val="00353021"/>
    <w:rsid w:val="00370C3E"/>
    <w:rsid w:val="003A2F10"/>
    <w:rsid w:val="004C17B7"/>
    <w:rsid w:val="004E3CBD"/>
    <w:rsid w:val="005656CA"/>
    <w:rsid w:val="005C331C"/>
    <w:rsid w:val="005E76E7"/>
    <w:rsid w:val="00645BED"/>
    <w:rsid w:val="006F4CF7"/>
    <w:rsid w:val="00744E84"/>
    <w:rsid w:val="008045B9"/>
    <w:rsid w:val="00880AE7"/>
    <w:rsid w:val="00883548"/>
    <w:rsid w:val="008B3572"/>
    <w:rsid w:val="00914FD8"/>
    <w:rsid w:val="009C7021"/>
    <w:rsid w:val="00A40A9A"/>
    <w:rsid w:val="00A74353"/>
    <w:rsid w:val="00B91B87"/>
    <w:rsid w:val="00C21AAC"/>
    <w:rsid w:val="00D24C84"/>
    <w:rsid w:val="00E13892"/>
    <w:rsid w:val="00E60277"/>
    <w:rsid w:val="00EA2338"/>
    <w:rsid w:val="00F5430B"/>
    <w:rsid w:val="00F77079"/>
    <w:rsid w:val="013078D4"/>
    <w:rsid w:val="01D86637"/>
    <w:rsid w:val="021178E3"/>
    <w:rsid w:val="0262292C"/>
    <w:rsid w:val="02B7624C"/>
    <w:rsid w:val="02ED7EC0"/>
    <w:rsid w:val="033A0C2B"/>
    <w:rsid w:val="064D5B42"/>
    <w:rsid w:val="0687062B"/>
    <w:rsid w:val="06936FD0"/>
    <w:rsid w:val="06E23AB3"/>
    <w:rsid w:val="071008CB"/>
    <w:rsid w:val="07F824A4"/>
    <w:rsid w:val="0874698D"/>
    <w:rsid w:val="08955281"/>
    <w:rsid w:val="08BC77D3"/>
    <w:rsid w:val="08D35DAA"/>
    <w:rsid w:val="09440A55"/>
    <w:rsid w:val="0A170C0C"/>
    <w:rsid w:val="0A27015B"/>
    <w:rsid w:val="0B5C3E34"/>
    <w:rsid w:val="0BEF300C"/>
    <w:rsid w:val="0C872DD2"/>
    <w:rsid w:val="0D137432"/>
    <w:rsid w:val="0DE53B54"/>
    <w:rsid w:val="0EDF580B"/>
    <w:rsid w:val="0FD541B5"/>
    <w:rsid w:val="12CD73C6"/>
    <w:rsid w:val="143F062B"/>
    <w:rsid w:val="1635775C"/>
    <w:rsid w:val="17325029"/>
    <w:rsid w:val="17CF5275"/>
    <w:rsid w:val="17DE8129"/>
    <w:rsid w:val="17F20C4D"/>
    <w:rsid w:val="18331C91"/>
    <w:rsid w:val="18892CD0"/>
    <w:rsid w:val="197131A1"/>
    <w:rsid w:val="198A6011"/>
    <w:rsid w:val="1A122C2B"/>
    <w:rsid w:val="1AE856E5"/>
    <w:rsid w:val="1AF6DA01"/>
    <w:rsid w:val="1B3A5C69"/>
    <w:rsid w:val="1B401D9C"/>
    <w:rsid w:val="1B4D5548"/>
    <w:rsid w:val="1BA22798"/>
    <w:rsid w:val="1BC50B80"/>
    <w:rsid w:val="1BFC128C"/>
    <w:rsid w:val="1C281B11"/>
    <w:rsid w:val="1C8054A9"/>
    <w:rsid w:val="1CA23671"/>
    <w:rsid w:val="1CD7325E"/>
    <w:rsid w:val="1CFFC965"/>
    <w:rsid w:val="1DEF28E6"/>
    <w:rsid w:val="1E273B77"/>
    <w:rsid w:val="1F262338"/>
    <w:rsid w:val="1F572402"/>
    <w:rsid w:val="1F72557D"/>
    <w:rsid w:val="1FD45EBA"/>
    <w:rsid w:val="200B7C44"/>
    <w:rsid w:val="208C7505"/>
    <w:rsid w:val="20EE3329"/>
    <w:rsid w:val="21472A39"/>
    <w:rsid w:val="22EE7610"/>
    <w:rsid w:val="23C242A0"/>
    <w:rsid w:val="2409047A"/>
    <w:rsid w:val="24521E21"/>
    <w:rsid w:val="24A00C57"/>
    <w:rsid w:val="24A0493A"/>
    <w:rsid w:val="24C660A9"/>
    <w:rsid w:val="253F4153"/>
    <w:rsid w:val="26D7756B"/>
    <w:rsid w:val="27373A37"/>
    <w:rsid w:val="279D4F06"/>
    <w:rsid w:val="28042401"/>
    <w:rsid w:val="283917B1"/>
    <w:rsid w:val="28CE1BFE"/>
    <w:rsid w:val="295E3016"/>
    <w:rsid w:val="2AE80DE9"/>
    <w:rsid w:val="2B54647E"/>
    <w:rsid w:val="2B6F73AF"/>
    <w:rsid w:val="2BD15D21"/>
    <w:rsid w:val="2BECCFE5"/>
    <w:rsid w:val="2CAB0320"/>
    <w:rsid w:val="2CD31625"/>
    <w:rsid w:val="2CFC1F4F"/>
    <w:rsid w:val="2CFE2B46"/>
    <w:rsid w:val="2DAE631A"/>
    <w:rsid w:val="2DAFB192"/>
    <w:rsid w:val="2DF30354"/>
    <w:rsid w:val="2DF950BB"/>
    <w:rsid w:val="2EBBD70D"/>
    <w:rsid w:val="2EE10029"/>
    <w:rsid w:val="2EFDB488"/>
    <w:rsid w:val="2FDA10EF"/>
    <w:rsid w:val="2FEF9786"/>
    <w:rsid w:val="2FF95A97"/>
    <w:rsid w:val="30135AB6"/>
    <w:rsid w:val="3071362F"/>
    <w:rsid w:val="307C7F98"/>
    <w:rsid w:val="309F1F4A"/>
    <w:rsid w:val="31C0661C"/>
    <w:rsid w:val="31F43B9D"/>
    <w:rsid w:val="325A1E78"/>
    <w:rsid w:val="346702DF"/>
    <w:rsid w:val="34871673"/>
    <w:rsid w:val="3541CB68"/>
    <w:rsid w:val="357F67EE"/>
    <w:rsid w:val="35814D3A"/>
    <w:rsid w:val="359EE00A"/>
    <w:rsid w:val="35DFBAE3"/>
    <w:rsid w:val="35EA4617"/>
    <w:rsid w:val="361231BE"/>
    <w:rsid w:val="36C7CCAF"/>
    <w:rsid w:val="371B4CAC"/>
    <w:rsid w:val="377A726D"/>
    <w:rsid w:val="37DDB126"/>
    <w:rsid w:val="37F33FA3"/>
    <w:rsid w:val="3830233C"/>
    <w:rsid w:val="388031C9"/>
    <w:rsid w:val="38D8A29D"/>
    <w:rsid w:val="39F722F7"/>
    <w:rsid w:val="3A5405D4"/>
    <w:rsid w:val="3A546726"/>
    <w:rsid w:val="3A7BE63F"/>
    <w:rsid w:val="3AD2ECE3"/>
    <w:rsid w:val="3B53405D"/>
    <w:rsid w:val="3BC963CC"/>
    <w:rsid w:val="3D121CF5"/>
    <w:rsid w:val="3D3A1978"/>
    <w:rsid w:val="3D3CB8E5"/>
    <w:rsid w:val="3D5DC804"/>
    <w:rsid w:val="3EBA7944"/>
    <w:rsid w:val="3EBE85F9"/>
    <w:rsid w:val="3EC534C3"/>
    <w:rsid w:val="3ECA4CF5"/>
    <w:rsid w:val="3ED41958"/>
    <w:rsid w:val="3EE7B831"/>
    <w:rsid w:val="3EF80DD0"/>
    <w:rsid w:val="3F5C0F5B"/>
    <w:rsid w:val="3F5EE751"/>
    <w:rsid w:val="3F762A0F"/>
    <w:rsid w:val="3F9BE318"/>
    <w:rsid w:val="3FABB395"/>
    <w:rsid w:val="3FAD720A"/>
    <w:rsid w:val="3FDBCC7A"/>
    <w:rsid w:val="40896D0A"/>
    <w:rsid w:val="4182569C"/>
    <w:rsid w:val="41AA69A0"/>
    <w:rsid w:val="41FF49CF"/>
    <w:rsid w:val="424E37D0"/>
    <w:rsid w:val="42F03815"/>
    <w:rsid w:val="430257C7"/>
    <w:rsid w:val="43056584"/>
    <w:rsid w:val="437B6009"/>
    <w:rsid w:val="43AA2C88"/>
    <w:rsid w:val="442320B6"/>
    <w:rsid w:val="44627A06"/>
    <w:rsid w:val="44913E48"/>
    <w:rsid w:val="44DC50C3"/>
    <w:rsid w:val="45392A63"/>
    <w:rsid w:val="45D4223E"/>
    <w:rsid w:val="47C12537"/>
    <w:rsid w:val="47F3E157"/>
    <w:rsid w:val="47F70D64"/>
    <w:rsid w:val="48B849C0"/>
    <w:rsid w:val="490F5704"/>
    <w:rsid w:val="49815FDD"/>
    <w:rsid w:val="4A3C5DF5"/>
    <w:rsid w:val="4A6F0787"/>
    <w:rsid w:val="4B3A6FE7"/>
    <w:rsid w:val="4BFBC300"/>
    <w:rsid w:val="4C0F5D7E"/>
    <w:rsid w:val="4C4E4D50"/>
    <w:rsid w:val="4C83051A"/>
    <w:rsid w:val="4D1F2772"/>
    <w:rsid w:val="4D9B7AB5"/>
    <w:rsid w:val="4DDFA0F7"/>
    <w:rsid w:val="4ED82D9F"/>
    <w:rsid w:val="4EFD8CB6"/>
    <w:rsid w:val="4F583EE0"/>
    <w:rsid w:val="4F806F93"/>
    <w:rsid w:val="4F9FF528"/>
    <w:rsid w:val="4FE5C86E"/>
    <w:rsid w:val="4FE793B0"/>
    <w:rsid w:val="50EC0779"/>
    <w:rsid w:val="512704E7"/>
    <w:rsid w:val="51340035"/>
    <w:rsid w:val="51F26321"/>
    <w:rsid w:val="532C2DD7"/>
    <w:rsid w:val="5336A6D7"/>
    <w:rsid w:val="538F3C48"/>
    <w:rsid w:val="54234451"/>
    <w:rsid w:val="5462436F"/>
    <w:rsid w:val="55D47ADF"/>
    <w:rsid w:val="564D66AA"/>
    <w:rsid w:val="56723AD9"/>
    <w:rsid w:val="56AA7DBD"/>
    <w:rsid w:val="56BE6D1E"/>
    <w:rsid w:val="56D53F78"/>
    <w:rsid w:val="57045E05"/>
    <w:rsid w:val="57334259"/>
    <w:rsid w:val="573B6503"/>
    <w:rsid w:val="57430FD1"/>
    <w:rsid w:val="57FE81F8"/>
    <w:rsid w:val="58207565"/>
    <w:rsid w:val="58B79979"/>
    <w:rsid w:val="58C425E6"/>
    <w:rsid w:val="5955323E"/>
    <w:rsid w:val="59F96F11"/>
    <w:rsid w:val="5ABDA5E8"/>
    <w:rsid w:val="5B7BBAD3"/>
    <w:rsid w:val="5BBAC365"/>
    <w:rsid w:val="5BE523F7"/>
    <w:rsid w:val="5BFF4705"/>
    <w:rsid w:val="5BFF6869"/>
    <w:rsid w:val="5BFF9D62"/>
    <w:rsid w:val="5CFB0BCE"/>
    <w:rsid w:val="5CFF194F"/>
    <w:rsid w:val="5D267DAB"/>
    <w:rsid w:val="5E072442"/>
    <w:rsid w:val="5E287173"/>
    <w:rsid w:val="5E9F383E"/>
    <w:rsid w:val="5EB2F4CC"/>
    <w:rsid w:val="5EFEF94D"/>
    <w:rsid w:val="5F27742B"/>
    <w:rsid w:val="5F77E87C"/>
    <w:rsid w:val="5FBB3EC2"/>
    <w:rsid w:val="5FBFF1E6"/>
    <w:rsid w:val="5FEBE819"/>
    <w:rsid w:val="5FF26E57"/>
    <w:rsid w:val="5FF5ADE3"/>
    <w:rsid w:val="5FFCEA6F"/>
    <w:rsid w:val="603F010C"/>
    <w:rsid w:val="60C8737A"/>
    <w:rsid w:val="627FF2D6"/>
    <w:rsid w:val="64393E88"/>
    <w:rsid w:val="64432611"/>
    <w:rsid w:val="64B234DE"/>
    <w:rsid w:val="65420B1A"/>
    <w:rsid w:val="65EDBAA4"/>
    <w:rsid w:val="662875FC"/>
    <w:rsid w:val="664A1A2C"/>
    <w:rsid w:val="669D0B93"/>
    <w:rsid w:val="66B01F6A"/>
    <w:rsid w:val="674D37A6"/>
    <w:rsid w:val="67A01E99"/>
    <w:rsid w:val="67ED69EC"/>
    <w:rsid w:val="67EEF67F"/>
    <w:rsid w:val="6967283B"/>
    <w:rsid w:val="696848C8"/>
    <w:rsid w:val="6A295995"/>
    <w:rsid w:val="6B741C4A"/>
    <w:rsid w:val="6B745C8F"/>
    <w:rsid w:val="6BACE21A"/>
    <w:rsid w:val="6BB54225"/>
    <w:rsid w:val="6BBF3B71"/>
    <w:rsid w:val="6BDF3FD8"/>
    <w:rsid w:val="6C3B104D"/>
    <w:rsid w:val="6C5775A1"/>
    <w:rsid w:val="6CC54BBE"/>
    <w:rsid w:val="6D0A5298"/>
    <w:rsid w:val="6D3F2693"/>
    <w:rsid w:val="6D69232C"/>
    <w:rsid w:val="6DB56E82"/>
    <w:rsid w:val="6DFA6BF8"/>
    <w:rsid w:val="6DFB5FF3"/>
    <w:rsid w:val="6E315BD0"/>
    <w:rsid w:val="6E804989"/>
    <w:rsid w:val="6FBACFE8"/>
    <w:rsid w:val="6FBDBDFF"/>
    <w:rsid w:val="6FE960B8"/>
    <w:rsid w:val="6FF1FFDC"/>
    <w:rsid w:val="6FFBCC0A"/>
    <w:rsid w:val="70193B73"/>
    <w:rsid w:val="707350BA"/>
    <w:rsid w:val="71BF4E24"/>
    <w:rsid w:val="71ED0060"/>
    <w:rsid w:val="71F72C8D"/>
    <w:rsid w:val="725D6F93"/>
    <w:rsid w:val="7272DD7D"/>
    <w:rsid w:val="737D76DA"/>
    <w:rsid w:val="73BF74EB"/>
    <w:rsid w:val="73E07E7C"/>
    <w:rsid w:val="73FB1021"/>
    <w:rsid w:val="74081181"/>
    <w:rsid w:val="745254FC"/>
    <w:rsid w:val="74EB3FBC"/>
    <w:rsid w:val="74F160B9"/>
    <w:rsid w:val="751625FE"/>
    <w:rsid w:val="75773862"/>
    <w:rsid w:val="75CD61DE"/>
    <w:rsid w:val="75EA26BB"/>
    <w:rsid w:val="76876993"/>
    <w:rsid w:val="76C3673C"/>
    <w:rsid w:val="76E922A4"/>
    <w:rsid w:val="76EEBF22"/>
    <w:rsid w:val="7711659E"/>
    <w:rsid w:val="772702D9"/>
    <w:rsid w:val="772B977D"/>
    <w:rsid w:val="7731279D"/>
    <w:rsid w:val="77778B55"/>
    <w:rsid w:val="77844FC2"/>
    <w:rsid w:val="77AD48D0"/>
    <w:rsid w:val="77B37656"/>
    <w:rsid w:val="77B9BE8C"/>
    <w:rsid w:val="77DE19F9"/>
    <w:rsid w:val="77DF8D0D"/>
    <w:rsid w:val="77E617D9"/>
    <w:rsid w:val="77EB7CEF"/>
    <w:rsid w:val="781225CE"/>
    <w:rsid w:val="78DF17A2"/>
    <w:rsid w:val="7922469C"/>
    <w:rsid w:val="7977461B"/>
    <w:rsid w:val="79782D4F"/>
    <w:rsid w:val="79970D77"/>
    <w:rsid w:val="79EF4322"/>
    <w:rsid w:val="7AE722FB"/>
    <w:rsid w:val="7AEF742A"/>
    <w:rsid w:val="7B795B58"/>
    <w:rsid w:val="7B7E0AC2"/>
    <w:rsid w:val="7B7F7A61"/>
    <w:rsid w:val="7B9F65EF"/>
    <w:rsid w:val="7BBBE3CB"/>
    <w:rsid w:val="7BCE79B7"/>
    <w:rsid w:val="7BCEA6FC"/>
    <w:rsid w:val="7BD61BD7"/>
    <w:rsid w:val="7BED941C"/>
    <w:rsid w:val="7BF215E9"/>
    <w:rsid w:val="7BFBA205"/>
    <w:rsid w:val="7C240B22"/>
    <w:rsid w:val="7C58FA8E"/>
    <w:rsid w:val="7D39527B"/>
    <w:rsid w:val="7D451D9F"/>
    <w:rsid w:val="7D7F5C9F"/>
    <w:rsid w:val="7DAB2F3C"/>
    <w:rsid w:val="7DAF4E64"/>
    <w:rsid w:val="7DBFBE96"/>
    <w:rsid w:val="7DE71E07"/>
    <w:rsid w:val="7DEE437A"/>
    <w:rsid w:val="7DFB5663"/>
    <w:rsid w:val="7DFF56BA"/>
    <w:rsid w:val="7DFFD65B"/>
    <w:rsid w:val="7E5D3781"/>
    <w:rsid w:val="7EB638B8"/>
    <w:rsid w:val="7EB7D837"/>
    <w:rsid w:val="7EEBF957"/>
    <w:rsid w:val="7EF705B8"/>
    <w:rsid w:val="7EFF55A5"/>
    <w:rsid w:val="7F1C592A"/>
    <w:rsid w:val="7F3925E5"/>
    <w:rsid w:val="7F4B7419"/>
    <w:rsid w:val="7F5E6F27"/>
    <w:rsid w:val="7F5F0F40"/>
    <w:rsid w:val="7F606315"/>
    <w:rsid w:val="7F6FBC77"/>
    <w:rsid w:val="7F77BA72"/>
    <w:rsid w:val="7F7D4786"/>
    <w:rsid w:val="7F7F262F"/>
    <w:rsid w:val="7F8B3294"/>
    <w:rsid w:val="7F9AC3E0"/>
    <w:rsid w:val="7FD27FF3"/>
    <w:rsid w:val="7FDBB3A1"/>
    <w:rsid w:val="7FEF9C25"/>
    <w:rsid w:val="7FF1B8D0"/>
    <w:rsid w:val="7FF573B4"/>
    <w:rsid w:val="7FFA0A21"/>
    <w:rsid w:val="7FFA771A"/>
    <w:rsid w:val="7FFBE844"/>
    <w:rsid w:val="7FFE9F61"/>
    <w:rsid w:val="7FFF3F0E"/>
    <w:rsid w:val="7FFFFD9F"/>
    <w:rsid w:val="8257BC9E"/>
    <w:rsid w:val="873DC599"/>
    <w:rsid w:val="89DBAEAA"/>
    <w:rsid w:val="8BBB928D"/>
    <w:rsid w:val="8DF96D12"/>
    <w:rsid w:val="97FB8BE8"/>
    <w:rsid w:val="9D3D56B6"/>
    <w:rsid w:val="9D7F5001"/>
    <w:rsid w:val="9EBF7CBE"/>
    <w:rsid w:val="9ED727B6"/>
    <w:rsid w:val="9F8FF19C"/>
    <w:rsid w:val="9FDE4320"/>
    <w:rsid w:val="A57D623D"/>
    <w:rsid w:val="A6F76C62"/>
    <w:rsid w:val="AA3F11A6"/>
    <w:rsid w:val="AABE3B66"/>
    <w:rsid w:val="ABED98BF"/>
    <w:rsid w:val="ABF8D8AE"/>
    <w:rsid w:val="AD390538"/>
    <w:rsid w:val="AE793A6C"/>
    <w:rsid w:val="AF9C876B"/>
    <w:rsid w:val="AFFBB701"/>
    <w:rsid w:val="B3DB375B"/>
    <w:rsid w:val="B66F036E"/>
    <w:rsid w:val="B6BF05F4"/>
    <w:rsid w:val="BA7B23C6"/>
    <w:rsid w:val="BABE3C31"/>
    <w:rsid w:val="BADBA595"/>
    <w:rsid w:val="BBF55A1D"/>
    <w:rsid w:val="BCD42FE0"/>
    <w:rsid w:val="BDFCE12A"/>
    <w:rsid w:val="BE4FF0A2"/>
    <w:rsid w:val="BE7BE60B"/>
    <w:rsid w:val="BEDD51F4"/>
    <w:rsid w:val="BEFF90E2"/>
    <w:rsid w:val="BFAE37F4"/>
    <w:rsid w:val="BFBFF5E2"/>
    <w:rsid w:val="BFD5A4B1"/>
    <w:rsid w:val="BFF98DA7"/>
    <w:rsid w:val="BFFBC60C"/>
    <w:rsid w:val="BFFD3BF5"/>
    <w:rsid w:val="C35F7942"/>
    <w:rsid w:val="C5DFEA75"/>
    <w:rsid w:val="C9FFC23D"/>
    <w:rsid w:val="CCAC30CE"/>
    <w:rsid w:val="CEEFD67E"/>
    <w:rsid w:val="CFEB2DEA"/>
    <w:rsid w:val="CFFF7906"/>
    <w:rsid w:val="D027123A"/>
    <w:rsid w:val="D3DAFCBA"/>
    <w:rsid w:val="D7CBD349"/>
    <w:rsid w:val="D7DDB229"/>
    <w:rsid w:val="D7F1FE30"/>
    <w:rsid w:val="D7FB87B6"/>
    <w:rsid w:val="D8DD9AF2"/>
    <w:rsid w:val="D97533A1"/>
    <w:rsid w:val="D97DA692"/>
    <w:rsid w:val="DAB4074A"/>
    <w:rsid w:val="DAC3F0BF"/>
    <w:rsid w:val="DAFFD443"/>
    <w:rsid w:val="DBBE4EFA"/>
    <w:rsid w:val="DBFB6C70"/>
    <w:rsid w:val="DE8BBA5F"/>
    <w:rsid w:val="DEF3898F"/>
    <w:rsid w:val="DEFE2231"/>
    <w:rsid w:val="DF672F52"/>
    <w:rsid w:val="DFE66715"/>
    <w:rsid w:val="DFEF7178"/>
    <w:rsid w:val="DFF6E559"/>
    <w:rsid w:val="DFFD6694"/>
    <w:rsid w:val="DFFED934"/>
    <w:rsid w:val="DFFFEACA"/>
    <w:rsid w:val="E2EBD9C8"/>
    <w:rsid w:val="E70458BA"/>
    <w:rsid w:val="E73567A3"/>
    <w:rsid w:val="E75F3D02"/>
    <w:rsid w:val="E7675AD4"/>
    <w:rsid w:val="E77F7663"/>
    <w:rsid w:val="EAEE5692"/>
    <w:rsid w:val="EBEDB165"/>
    <w:rsid w:val="EC7B9CC3"/>
    <w:rsid w:val="ECBFC14B"/>
    <w:rsid w:val="ED3B651D"/>
    <w:rsid w:val="ED651A30"/>
    <w:rsid w:val="EDBFCE11"/>
    <w:rsid w:val="EEEF45B2"/>
    <w:rsid w:val="EEFF5F06"/>
    <w:rsid w:val="EEFFEBC9"/>
    <w:rsid w:val="EF7D56AA"/>
    <w:rsid w:val="EFDE7A36"/>
    <w:rsid w:val="EFEFADEE"/>
    <w:rsid w:val="EFF12C67"/>
    <w:rsid w:val="EFF7B493"/>
    <w:rsid w:val="EFFEB42D"/>
    <w:rsid w:val="EFFECF41"/>
    <w:rsid w:val="EFFFD5A1"/>
    <w:rsid w:val="F2F922E6"/>
    <w:rsid w:val="F336EFD0"/>
    <w:rsid w:val="F3FFE366"/>
    <w:rsid w:val="F41FB0B2"/>
    <w:rsid w:val="F525B3A8"/>
    <w:rsid w:val="F5470577"/>
    <w:rsid w:val="F568BA10"/>
    <w:rsid w:val="F57F099A"/>
    <w:rsid w:val="F5BF0818"/>
    <w:rsid w:val="F5FB4B25"/>
    <w:rsid w:val="F5FC7ADE"/>
    <w:rsid w:val="F67FD6BA"/>
    <w:rsid w:val="F7751199"/>
    <w:rsid w:val="F7979DA0"/>
    <w:rsid w:val="F79D317E"/>
    <w:rsid w:val="F7BEE074"/>
    <w:rsid w:val="F7D67620"/>
    <w:rsid w:val="F7EDDAE7"/>
    <w:rsid w:val="F7F962A3"/>
    <w:rsid w:val="F7FF8411"/>
    <w:rsid w:val="F8A48887"/>
    <w:rsid w:val="F8B532EC"/>
    <w:rsid w:val="F8F27C2E"/>
    <w:rsid w:val="F979BDF7"/>
    <w:rsid w:val="FABDAF59"/>
    <w:rsid w:val="FAEF05F2"/>
    <w:rsid w:val="FAFC25E6"/>
    <w:rsid w:val="FB5B5A71"/>
    <w:rsid w:val="FB7A60EC"/>
    <w:rsid w:val="FBB7A50B"/>
    <w:rsid w:val="FBE735CD"/>
    <w:rsid w:val="FBFBECA0"/>
    <w:rsid w:val="FBFBEE21"/>
    <w:rsid w:val="FBFD44E0"/>
    <w:rsid w:val="FBFEFC7E"/>
    <w:rsid w:val="FBFF9C87"/>
    <w:rsid w:val="FCBDBA2D"/>
    <w:rsid w:val="FCEF70C6"/>
    <w:rsid w:val="FCFA6316"/>
    <w:rsid w:val="FDD50D94"/>
    <w:rsid w:val="FDFBAC79"/>
    <w:rsid w:val="FDFE0828"/>
    <w:rsid w:val="FE734873"/>
    <w:rsid w:val="FE7710FE"/>
    <w:rsid w:val="FEBCF3FF"/>
    <w:rsid w:val="FEBD6BBB"/>
    <w:rsid w:val="FEF130DE"/>
    <w:rsid w:val="FEFB4FF6"/>
    <w:rsid w:val="FEFBDC40"/>
    <w:rsid w:val="FEFBE82C"/>
    <w:rsid w:val="FEFD8401"/>
    <w:rsid w:val="FEFF0422"/>
    <w:rsid w:val="FF137DBD"/>
    <w:rsid w:val="FF259DE8"/>
    <w:rsid w:val="FF4BF764"/>
    <w:rsid w:val="FF6D9193"/>
    <w:rsid w:val="FF75DCC6"/>
    <w:rsid w:val="FF75F784"/>
    <w:rsid w:val="FF79AEC2"/>
    <w:rsid w:val="FF7F9722"/>
    <w:rsid w:val="FF919E9B"/>
    <w:rsid w:val="FF9DF60A"/>
    <w:rsid w:val="FFB6D138"/>
    <w:rsid w:val="FFB90B2C"/>
    <w:rsid w:val="FFBC22EB"/>
    <w:rsid w:val="FFCF9FCB"/>
    <w:rsid w:val="FFDD784E"/>
    <w:rsid w:val="FFDFDFFC"/>
    <w:rsid w:val="FFEF4721"/>
    <w:rsid w:val="FFF62A50"/>
    <w:rsid w:val="FFF656FF"/>
    <w:rsid w:val="FFF7B8C0"/>
    <w:rsid w:val="FFFD9A6C"/>
    <w:rsid w:val="FFFE035C"/>
    <w:rsid w:val="FFFE58B4"/>
    <w:rsid w:val="FFFE7E86"/>
    <w:rsid w:val="FFFF21AC"/>
    <w:rsid w:val="FFFFE6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2"/>
    <w:basedOn w:val="1"/>
    <w:next w:val="1"/>
    <w:link w:val="20"/>
    <w:qFormat/>
    <w:locked/>
    <w:uiPriority w:val="99"/>
    <w:pPr>
      <w:spacing w:beforeAutospacing="1" w:afterAutospacing="1"/>
      <w:jc w:val="left"/>
      <w:outlineLvl w:val="1"/>
    </w:pPr>
    <w:rPr>
      <w:rFonts w:ascii="宋体" w:hAnsi="宋体"/>
      <w:b/>
      <w:bCs/>
      <w:kern w:val="0"/>
      <w:sz w:val="36"/>
      <w:szCs w:val="36"/>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99"/>
    <w:pPr>
      <w:spacing w:after="120"/>
    </w:pPr>
  </w:style>
  <w:style w:type="paragraph" w:styleId="4">
    <w:name w:val="Body Text Indent 2"/>
    <w:basedOn w:val="1"/>
    <w:next w:val="1"/>
    <w:link w:val="22"/>
    <w:qFormat/>
    <w:uiPriority w:val="99"/>
    <w:pPr>
      <w:spacing w:after="120" w:line="480" w:lineRule="auto"/>
      <w:ind w:left="420" w:leftChars="200"/>
    </w:pPr>
  </w:style>
  <w:style w:type="paragraph" w:styleId="5">
    <w:name w:val="footer"/>
    <w:basedOn w:val="1"/>
    <w:link w:val="23"/>
    <w:qFormat/>
    <w:uiPriority w:val="99"/>
    <w:pPr>
      <w:tabs>
        <w:tab w:val="center" w:pos="4153"/>
        <w:tab w:val="right" w:pos="8306"/>
      </w:tabs>
      <w:snapToGrid w:val="0"/>
      <w:jc w:val="left"/>
    </w:pPr>
    <w:rPr>
      <w:sz w:val="18"/>
    </w:rPr>
  </w:style>
  <w:style w:type="paragraph" w:styleId="6">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99"/>
    <w:rPr>
      <w:rFonts w:cs="Times New Roman"/>
      <w:b/>
      <w:color w:val="333333"/>
      <w:sz w:val="21"/>
      <w:szCs w:val="21"/>
      <w:shd w:val="clear" w:color="auto" w:fill="F8F8F8"/>
    </w:rPr>
  </w:style>
  <w:style w:type="character" w:styleId="12">
    <w:name w:val="page number"/>
    <w:basedOn w:val="10"/>
    <w:qFormat/>
    <w:locked/>
    <w:uiPriority w:val="99"/>
    <w:rPr>
      <w:rFonts w:cs="Times New Roman"/>
    </w:rPr>
  </w:style>
  <w:style w:type="character" w:styleId="13">
    <w:name w:val="FollowedHyperlink"/>
    <w:basedOn w:val="10"/>
    <w:semiHidden/>
    <w:qFormat/>
    <w:uiPriority w:val="99"/>
    <w:rPr>
      <w:rFonts w:cs="Times New Roman"/>
      <w:color w:val="333333"/>
      <w:u w:val="none"/>
    </w:rPr>
  </w:style>
  <w:style w:type="character" w:styleId="14">
    <w:name w:val="Emphasis"/>
    <w:basedOn w:val="10"/>
    <w:qFormat/>
    <w:locked/>
    <w:uiPriority w:val="99"/>
    <w:rPr>
      <w:rFonts w:cs="Times New Roman"/>
    </w:rPr>
  </w:style>
  <w:style w:type="character" w:styleId="15">
    <w:name w:val="HTML Definition"/>
    <w:basedOn w:val="10"/>
    <w:semiHidden/>
    <w:qFormat/>
    <w:uiPriority w:val="99"/>
    <w:rPr>
      <w:rFonts w:cs="Times New Roman"/>
    </w:rPr>
  </w:style>
  <w:style w:type="character" w:styleId="16">
    <w:name w:val="HTML Variable"/>
    <w:basedOn w:val="10"/>
    <w:semiHidden/>
    <w:qFormat/>
    <w:uiPriority w:val="99"/>
    <w:rPr>
      <w:rFonts w:cs="Times New Roman"/>
    </w:rPr>
  </w:style>
  <w:style w:type="character" w:styleId="17">
    <w:name w:val="Hyperlink"/>
    <w:basedOn w:val="10"/>
    <w:semiHidden/>
    <w:qFormat/>
    <w:uiPriority w:val="99"/>
    <w:rPr>
      <w:rFonts w:cs="Times New Roman"/>
      <w:color w:val="333333"/>
      <w:u w:val="none"/>
    </w:rPr>
  </w:style>
  <w:style w:type="character" w:styleId="18">
    <w:name w:val="HTML Code"/>
    <w:basedOn w:val="10"/>
    <w:semiHidden/>
    <w:qFormat/>
    <w:uiPriority w:val="99"/>
    <w:rPr>
      <w:rFonts w:ascii="Courier New" w:hAnsi="Courier New" w:cs="Times New Roman"/>
      <w:sz w:val="20"/>
    </w:rPr>
  </w:style>
  <w:style w:type="character" w:styleId="19">
    <w:name w:val="HTML Cite"/>
    <w:basedOn w:val="10"/>
    <w:semiHidden/>
    <w:qFormat/>
    <w:uiPriority w:val="99"/>
    <w:rPr>
      <w:rFonts w:cs="Times New Roman"/>
    </w:rPr>
  </w:style>
  <w:style w:type="character" w:customStyle="1" w:styleId="20">
    <w:name w:val="Heading 2 Char"/>
    <w:basedOn w:val="10"/>
    <w:link w:val="2"/>
    <w:semiHidden/>
    <w:qFormat/>
    <w:locked/>
    <w:uiPriority w:val="99"/>
    <w:rPr>
      <w:rFonts w:ascii="Cambria" w:hAnsi="Cambria" w:eastAsia="宋体" w:cs="Times New Roman"/>
      <w:b/>
      <w:bCs/>
      <w:sz w:val="32"/>
      <w:szCs w:val="32"/>
    </w:rPr>
  </w:style>
  <w:style w:type="character" w:customStyle="1" w:styleId="21">
    <w:name w:val="Body Text Char"/>
    <w:basedOn w:val="10"/>
    <w:link w:val="3"/>
    <w:semiHidden/>
    <w:qFormat/>
    <w:locked/>
    <w:uiPriority w:val="99"/>
    <w:rPr>
      <w:rFonts w:cs="Times New Roman"/>
    </w:rPr>
  </w:style>
  <w:style w:type="character" w:customStyle="1" w:styleId="22">
    <w:name w:val="Body Text Indent 2 Char"/>
    <w:basedOn w:val="10"/>
    <w:link w:val="4"/>
    <w:semiHidden/>
    <w:qFormat/>
    <w:locked/>
    <w:uiPriority w:val="99"/>
    <w:rPr>
      <w:rFonts w:cs="Times New Roman"/>
    </w:rPr>
  </w:style>
  <w:style w:type="character" w:customStyle="1" w:styleId="23">
    <w:name w:val="Footer Char"/>
    <w:basedOn w:val="10"/>
    <w:link w:val="5"/>
    <w:semiHidden/>
    <w:qFormat/>
    <w:locked/>
    <w:uiPriority w:val="99"/>
    <w:rPr>
      <w:rFonts w:cs="Times New Roman"/>
      <w:sz w:val="18"/>
      <w:szCs w:val="18"/>
    </w:rPr>
  </w:style>
  <w:style w:type="character" w:customStyle="1" w:styleId="24">
    <w:name w:val="Header Char"/>
    <w:basedOn w:val="10"/>
    <w:link w:val="6"/>
    <w:semiHidden/>
    <w:qFormat/>
    <w:locked/>
    <w:uiPriority w:val="99"/>
    <w:rPr>
      <w:rFonts w:cs="Times New Roman"/>
      <w:sz w:val="18"/>
      <w:szCs w:val="18"/>
    </w:rPr>
  </w:style>
  <w:style w:type="character" w:customStyle="1" w:styleId="25">
    <w:name w:val="font01"/>
    <w:basedOn w:val="10"/>
    <w:qFormat/>
    <w:uiPriority w:val="99"/>
    <w:rPr>
      <w:rFonts w:ascii="方正仿宋_GBK" w:hAnsi="方正仿宋_GBK" w:eastAsia="方正仿宋_GBK" w:cs="方正仿宋_GBK"/>
      <w:color w:val="000000"/>
      <w:sz w:val="24"/>
      <w:szCs w:val="24"/>
      <w:u w:val="none"/>
    </w:rPr>
  </w:style>
  <w:style w:type="character" w:customStyle="1" w:styleId="26">
    <w:name w:val="font11"/>
    <w:basedOn w:val="10"/>
    <w:qFormat/>
    <w:uiPriority w:val="99"/>
    <w:rPr>
      <w:rFonts w:ascii="仿宋_GB2312" w:eastAsia="仿宋_GB2312" w:cs="仿宋_GB2312"/>
      <w:b/>
      <w:bCs/>
      <w:color w:val="000000"/>
      <w:sz w:val="32"/>
      <w:szCs w:val="32"/>
      <w:u w:val="none"/>
    </w:rPr>
  </w:style>
  <w:style w:type="character" w:customStyle="1" w:styleId="27">
    <w:name w:val="font21"/>
    <w:basedOn w:val="10"/>
    <w:qFormat/>
    <w:uiPriority w:val="99"/>
    <w:rPr>
      <w:rFonts w:ascii="仿宋" w:hAnsi="仿宋" w:eastAsia="仿宋" w:cs="仿宋"/>
      <w:b/>
      <w:bCs/>
      <w:color w:val="000000"/>
      <w:sz w:val="24"/>
      <w:szCs w:val="24"/>
      <w:u w:val="none"/>
    </w:rPr>
  </w:style>
  <w:style w:type="character" w:customStyle="1" w:styleId="28">
    <w:name w:val="font31"/>
    <w:basedOn w:val="10"/>
    <w:qFormat/>
    <w:uiPriority w:val="99"/>
    <w:rPr>
      <w:rFonts w:ascii="Arial" w:hAnsi="Arial" w:cs="Arial"/>
      <w:b/>
      <w:bCs/>
      <w:color w:val="000000"/>
      <w:sz w:val="32"/>
      <w:szCs w:val="32"/>
      <w:u w:val="none"/>
    </w:rPr>
  </w:style>
  <w:style w:type="character" w:customStyle="1" w:styleId="29">
    <w:name w:val="first-child"/>
    <w:basedOn w:val="10"/>
    <w:qFormat/>
    <w:uiPriority w:val="99"/>
    <w:rPr>
      <w:rFonts w:cs="Times New Roman"/>
    </w:rPr>
  </w:style>
  <w:style w:type="character" w:customStyle="1" w:styleId="30">
    <w:name w:val="show-title"/>
    <w:basedOn w:val="10"/>
    <w:qFormat/>
    <w:uiPriority w:val="99"/>
    <w:rPr>
      <w:rFonts w:cs="Times New Roman"/>
    </w:rPr>
  </w:style>
  <w:style w:type="character" w:customStyle="1" w:styleId="31">
    <w:name w:val="hover21"/>
    <w:basedOn w:val="10"/>
    <w:qFormat/>
    <w:uiPriority w:val="99"/>
    <w:rPr>
      <w:rFonts w:cs="Times New Roman"/>
      <w:color w:val="337AB7"/>
    </w:rPr>
  </w:style>
  <w:style w:type="character" w:customStyle="1" w:styleId="32">
    <w:name w:val="hover22"/>
    <w:basedOn w:val="10"/>
    <w:qFormat/>
    <w:uiPriority w:val="99"/>
    <w:rPr>
      <w:rFonts w:cs="Times New Roman"/>
      <w:color w:val="BF0101"/>
      <w:u w:val="none"/>
      <w:bdr w:val="single" w:color="BF0101" w:sz="6" w:space="0"/>
    </w:rPr>
  </w:style>
  <w:style w:type="character" w:customStyle="1" w:styleId="33">
    <w:name w:val="layui-this"/>
    <w:basedOn w:val="10"/>
    <w:qFormat/>
    <w:uiPriority w:val="99"/>
    <w:rPr>
      <w:rFonts w:cs="Times New Roman"/>
      <w:bdr w:val="single" w:color="EEEEEE" w:sz="6" w:space="0"/>
      <w:shd w:val="clear" w:color="auto" w:fill="FFFFFF"/>
    </w:rPr>
  </w:style>
  <w:style w:type="character" w:customStyle="1" w:styleId="34">
    <w:name w:val="center2"/>
    <w:basedOn w:val="10"/>
    <w:qFormat/>
    <w:uiPriority w:val="99"/>
    <w:rPr>
      <w:rFonts w:cs="Times New Roman"/>
    </w:rPr>
  </w:style>
  <w:style w:type="character" w:customStyle="1" w:styleId="35">
    <w:name w:val="image-title3"/>
    <w:basedOn w:val="10"/>
    <w:qFormat/>
    <w:uiPriority w:val="99"/>
    <w:rPr>
      <w:rFonts w:cs="Times New Roman"/>
      <w:color w:val="808080"/>
      <w:sz w:val="21"/>
      <w:szCs w:val="21"/>
    </w:rPr>
  </w:style>
  <w:style w:type="character" w:customStyle="1" w:styleId="36">
    <w:name w:val="image-title"/>
    <w:basedOn w:val="10"/>
    <w:qFormat/>
    <w:uiPriority w:val="99"/>
    <w:rPr>
      <w:rFonts w:cs="Times New Roman"/>
      <w:color w:val="808080"/>
      <w:sz w:val="21"/>
      <w:szCs w:val="21"/>
    </w:rPr>
  </w:style>
  <w:style w:type="character" w:customStyle="1" w:styleId="37">
    <w:name w:val="hover20"/>
    <w:basedOn w:val="10"/>
    <w:qFormat/>
    <w:uiPriority w:val="99"/>
    <w:rPr>
      <w:rFonts w:cs="Times New Roman"/>
      <w:color w:val="337AB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44</Pages>
  <Words>3465</Words>
  <Characters>19753</Characters>
  <Lines>0</Lines>
  <Paragraphs>0</Paragraphs>
  <TotalTime>10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2025-03-21T09:08:00Z</dcterms:created>
  <dc:creator>法律顾问</dc:creator>
  <cp:lastModifiedBy>谢</cp:lastModifiedBy>
  <cp:lastPrinted>2025-03-21T09:06:00Z</cp:lastPrinted>
  <dcterms:modified xsi:type="dcterms:W3CDTF">2025-04-09T14:55:20Z</dcterms:modified>
  <dc:title>生态环境涉企行政检查事项清单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438A4BC19F9D47ADB58284B53A6D2F6C_13</vt:lpwstr>
  </property>
  <property fmtid="{D5CDD505-2E9C-101B-9397-08002B2CF9AE}" pid="4" name="KSOTemplateDocerSaveRecord">
    <vt:lpwstr>eyJoZGlkIjoiYzczYTk3N2RjYjM3OGZlM2YwNmQ2Y2VkNzI5ZDE3YWIifQ==</vt:lpwstr>
  </property>
</Properties>
</file>