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FDAF6" w14:textId="77777777" w:rsidR="00343657" w:rsidRDefault="00343657">
      <w:pPr>
        <w:tabs>
          <w:tab w:val="left" w:pos="7380"/>
        </w:tabs>
        <w:spacing w:line="980" w:lineRule="exact"/>
        <w:ind w:firstLineChars="1700" w:firstLine="5440"/>
        <w:rPr>
          <w:rFonts w:ascii="仿宋_GB2312" w:eastAsia="仿宋_GB2312"/>
          <w:bCs/>
          <w:sz w:val="32"/>
        </w:rPr>
      </w:pPr>
    </w:p>
    <w:p w14:paraId="5B4FF44B" w14:textId="77777777" w:rsidR="00343657" w:rsidRDefault="00000000">
      <w:pPr>
        <w:tabs>
          <w:tab w:val="left" w:pos="7380"/>
        </w:tabs>
        <w:spacing w:line="540" w:lineRule="exact"/>
        <w:ind w:firstLineChars="1500" w:firstLine="4800"/>
        <w:rPr>
          <w:rFonts w:ascii="仿宋_GB2312" w:eastAsia="仿宋_GB2312"/>
          <w:bCs/>
          <w:sz w:val="32"/>
        </w:rPr>
      </w:pPr>
      <w:r>
        <w:rPr>
          <w:rFonts w:ascii="仿宋_GB2312" w:eastAsia="仿宋_GB2312" w:hint="eastAsia"/>
          <w:bCs/>
          <w:sz w:val="32"/>
        </w:rPr>
        <w:t>常环建〔202</w:t>
      </w:r>
      <w:r>
        <w:rPr>
          <w:rFonts w:ascii="仿宋_GB2312" w:eastAsia="仿宋_GB2312"/>
          <w:bCs/>
          <w:sz w:val="32"/>
        </w:rPr>
        <w:t>6</w:t>
      </w:r>
      <w:r>
        <w:rPr>
          <w:rFonts w:ascii="仿宋_GB2312" w:eastAsia="仿宋_GB2312" w:hint="eastAsia"/>
          <w:bCs/>
          <w:sz w:val="32"/>
        </w:rPr>
        <w:t>〕</w:t>
      </w:r>
      <w:r>
        <w:rPr>
          <w:rFonts w:ascii="仿宋_GB2312" w:eastAsia="仿宋_GB2312"/>
          <w:bCs/>
          <w:sz w:val="32"/>
        </w:rPr>
        <w:t>43</w:t>
      </w:r>
      <w:r>
        <w:rPr>
          <w:rFonts w:ascii="仿宋_GB2312" w:eastAsia="仿宋_GB2312" w:hint="eastAsia"/>
          <w:bCs/>
          <w:sz w:val="32"/>
        </w:rPr>
        <w:t>号</w:t>
      </w:r>
    </w:p>
    <w:p w14:paraId="255BD4CA" w14:textId="77777777" w:rsidR="00343657" w:rsidRDefault="00343657">
      <w:pPr>
        <w:tabs>
          <w:tab w:val="left" w:pos="7380"/>
        </w:tabs>
        <w:spacing w:line="580" w:lineRule="exact"/>
        <w:ind w:firstLineChars="1600" w:firstLine="5120"/>
        <w:rPr>
          <w:rFonts w:ascii="楷体_GB2312" w:eastAsia="楷体_GB2312"/>
          <w:bCs/>
          <w:sz w:val="32"/>
        </w:rPr>
      </w:pPr>
    </w:p>
    <w:p w14:paraId="4EFF004E" w14:textId="77777777" w:rsidR="00343657" w:rsidRDefault="00000000">
      <w:pPr>
        <w:spacing w:line="540" w:lineRule="exact"/>
        <w:jc w:val="center"/>
        <w:rPr>
          <w:rFonts w:ascii="方正小标宋简体" w:eastAsia="方正小标宋简体" w:hAnsi="宋体" w:hint="eastAsia"/>
          <w:bCs/>
          <w:sz w:val="44"/>
          <w:szCs w:val="44"/>
        </w:rPr>
      </w:pPr>
      <w:r>
        <w:rPr>
          <w:rFonts w:ascii="方正小标宋简体" w:eastAsia="方正小标宋简体" w:hAnsi="宋体" w:hint="eastAsia"/>
          <w:bCs/>
          <w:sz w:val="44"/>
          <w:szCs w:val="44"/>
        </w:rPr>
        <w:t>常德市生态环境局</w:t>
      </w:r>
    </w:p>
    <w:p w14:paraId="27BB8FA6" w14:textId="77777777" w:rsidR="00343657" w:rsidRDefault="00000000">
      <w:pPr>
        <w:tabs>
          <w:tab w:val="left" w:pos="540"/>
          <w:tab w:val="left" w:pos="720"/>
        </w:tabs>
        <w:spacing w:line="540" w:lineRule="exact"/>
        <w:jc w:val="center"/>
        <w:rPr>
          <w:rFonts w:ascii="方正小标宋简体" w:eastAsia="方正小标宋简体" w:hAnsi="宋体" w:hint="eastAsia"/>
          <w:bCs/>
          <w:sz w:val="44"/>
          <w:szCs w:val="44"/>
        </w:rPr>
      </w:pPr>
      <w:r>
        <w:rPr>
          <w:rFonts w:ascii="方正小标宋简体" w:eastAsia="方正小标宋简体" w:hAnsi="宋体" w:hint="eastAsia"/>
          <w:bCs/>
          <w:sz w:val="44"/>
          <w:szCs w:val="44"/>
        </w:rPr>
        <w:t>关于</w:t>
      </w:r>
      <w:r>
        <w:rPr>
          <w:rFonts w:ascii="方正小标宋简体" w:eastAsia="方正小标宋简体" w:hAnsi="宋体"/>
          <w:bCs/>
          <w:sz w:val="44"/>
          <w:szCs w:val="44"/>
        </w:rPr>
        <w:t>湖南南华乐器有限公司南华乐器二期新建厂房及吉他生产线项目</w:t>
      </w:r>
      <w:r>
        <w:rPr>
          <w:rFonts w:ascii="方正小标宋简体" w:eastAsia="方正小标宋简体" w:hAnsi="宋体" w:hint="eastAsia"/>
          <w:bCs/>
          <w:sz w:val="44"/>
          <w:szCs w:val="44"/>
        </w:rPr>
        <w:t>环境影响报告书的批复</w:t>
      </w:r>
    </w:p>
    <w:p w14:paraId="61828894" w14:textId="77777777" w:rsidR="00343657" w:rsidRDefault="00343657">
      <w:pPr>
        <w:spacing w:line="560" w:lineRule="exact"/>
        <w:rPr>
          <w:rFonts w:ascii="仿宋_GB2312" w:eastAsia="仿宋_GB2312" w:hAnsi="宋体" w:hint="eastAsia"/>
          <w:bCs/>
          <w:sz w:val="44"/>
          <w:szCs w:val="44"/>
        </w:rPr>
      </w:pPr>
    </w:p>
    <w:p w14:paraId="67BE7539" w14:textId="77777777" w:rsidR="00343657" w:rsidRDefault="00000000">
      <w:pPr>
        <w:spacing w:line="560" w:lineRule="exact"/>
        <w:rPr>
          <w:rFonts w:ascii="仿宋_GB2312" w:eastAsia="仿宋_GB2312"/>
          <w:sz w:val="32"/>
          <w:szCs w:val="32"/>
        </w:rPr>
      </w:pPr>
      <w:r>
        <w:rPr>
          <w:rFonts w:ascii="仿宋_GB2312" w:eastAsia="仿宋_GB2312" w:hAnsi="仿宋" w:hint="eastAsia"/>
          <w:bCs/>
          <w:sz w:val="32"/>
          <w:szCs w:val="32"/>
        </w:rPr>
        <w:t>湖南南华乐器有限公司</w:t>
      </w:r>
      <w:r>
        <w:rPr>
          <w:rFonts w:ascii="仿宋_GB2312" w:eastAsia="仿宋_GB2312" w:hint="eastAsia"/>
          <w:sz w:val="32"/>
        </w:rPr>
        <w:t>：</w:t>
      </w:r>
    </w:p>
    <w:p w14:paraId="10A3F549" w14:textId="77777777" w:rsidR="00343657" w:rsidRDefault="00000000">
      <w:pPr>
        <w:spacing w:line="560" w:lineRule="exact"/>
        <w:ind w:firstLineChars="200" w:firstLine="640"/>
        <w:rPr>
          <w:rFonts w:ascii="仿宋_GB2312" w:eastAsia="仿宋_GB2312" w:hAnsi="仿宋" w:cs="仿宋" w:hint="eastAsia"/>
          <w:color w:val="C00000"/>
          <w:sz w:val="32"/>
          <w:szCs w:val="32"/>
        </w:rPr>
      </w:pPr>
      <w:r>
        <w:rPr>
          <w:rFonts w:ascii="仿宋_GB2312" w:eastAsia="仿宋_GB2312" w:hint="eastAsia"/>
          <w:sz w:val="32"/>
          <w:szCs w:val="32"/>
        </w:rPr>
        <w:t>你公司《</w:t>
      </w:r>
      <w:r>
        <w:rPr>
          <w:rFonts w:ascii="仿宋_GB2312" w:eastAsia="仿宋_GB2312" w:hAnsi="仿宋" w:hint="eastAsia"/>
          <w:bCs/>
          <w:sz w:val="32"/>
          <w:szCs w:val="32"/>
        </w:rPr>
        <w:t>南华乐器二期新建厂房及吉他生产线项目环境影响报告书</w:t>
      </w:r>
      <w:r>
        <w:rPr>
          <w:rFonts w:ascii="仿宋_GB2312" w:eastAsia="仿宋_GB2312" w:hint="eastAsia"/>
          <w:sz w:val="32"/>
          <w:szCs w:val="32"/>
        </w:rPr>
        <w:t>》</w:t>
      </w:r>
      <w:r>
        <w:rPr>
          <w:rFonts w:ascii="仿宋_GB2312" w:eastAsia="仿宋_GB2312" w:hAnsi="仿宋" w:cs="仿宋" w:hint="eastAsia"/>
          <w:sz w:val="32"/>
          <w:szCs w:val="32"/>
        </w:rPr>
        <w:t>（以下简称《报告书》）</w:t>
      </w:r>
      <w:r>
        <w:rPr>
          <w:rFonts w:ascii="仿宋_GB2312" w:eastAsia="仿宋_GB2312" w:hAnsi="仿宋" w:hint="eastAsia"/>
          <w:bCs/>
          <w:sz w:val="32"/>
          <w:szCs w:val="32"/>
        </w:rPr>
        <w:t>、</w:t>
      </w:r>
      <w:r>
        <w:rPr>
          <w:rFonts w:ascii="仿宋_GB2312" w:eastAsia="仿宋_GB2312" w:hint="eastAsia"/>
          <w:sz w:val="32"/>
          <w:szCs w:val="32"/>
        </w:rPr>
        <w:t>《</w:t>
      </w:r>
      <w:r>
        <w:rPr>
          <w:rFonts w:ascii="仿宋_GB2312" w:eastAsia="仿宋_GB2312" w:hAnsi="仿宋" w:hint="eastAsia"/>
          <w:bCs/>
          <w:sz w:val="32"/>
          <w:szCs w:val="32"/>
        </w:rPr>
        <w:t>南华乐器二期新建厂房及吉他生产线项目环境影响评价公众参与说明》、常德市</w:t>
      </w:r>
      <w:proofErr w:type="gramStart"/>
      <w:r>
        <w:rPr>
          <w:rFonts w:ascii="仿宋_GB2312" w:eastAsia="仿宋_GB2312" w:hAnsi="仿宋" w:hint="eastAsia"/>
          <w:bCs/>
          <w:sz w:val="32"/>
          <w:szCs w:val="32"/>
        </w:rPr>
        <w:t>生态环境局</w:t>
      </w:r>
      <w:r>
        <w:rPr>
          <w:rFonts w:ascii="仿宋_GB2312" w:eastAsia="仿宋_GB2312" w:hAnsi="仿宋"/>
          <w:bCs/>
          <w:sz w:val="32"/>
          <w:szCs w:val="32"/>
        </w:rPr>
        <w:t>鼎城</w:t>
      </w:r>
      <w:proofErr w:type="gramEnd"/>
      <w:r>
        <w:rPr>
          <w:rFonts w:ascii="仿宋_GB2312" w:eastAsia="仿宋_GB2312" w:hAnsi="仿宋" w:hint="eastAsia"/>
          <w:bCs/>
          <w:sz w:val="32"/>
          <w:szCs w:val="32"/>
        </w:rPr>
        <w:t>分局《关于南华乐器二期新建厂房及吉他生产线项目环境影响报告书</w:t>
      </w:r>
      <w:r>
        <w:rPr>
          <w:rFonts w:ascii="仿宋_GB2312" w:eastAsia="仿宋_GB2312" w:hAnsi="仿宋"/>
          <w:bCs/>
          <w:sz w:val="32"/>
          <w:szCs w:val="32"/>
        </w:rPr>
        <w:t>的</w:t>
      </w:r>
      <w:r>
        <w:rPr>
          <w:rFonts w:ascii="仿宋_GB2312" w:eastAsia="仿宋_GB2312" w:hAnsi="仿宋" w:hint="eastAsia"/>
          <w:bCs/>
          <w:sz w:val="32"/>
          <w:szCs w:val="32"/>
        </w:rPr>
        <w:t>预审意见》等有关材料收悉，</w:t>
      </w:r>
      <w:r>
        <w:rPr>
          <w:rFonts w:ascii="仿宋_GB2312" w:eastAsia="仿宋_GB2312" w:hAnsi="仿宋_GB2312" w:cs="仿宋_GB2312" w:hint="eastAsia"/>
          <w:bCs/>
          <w:sz w:val="32"/>
          <w:szCs w:val="32"/>
        </w:rPr>
        <w:t>结合</w:t>
      </w:r>
      <w:r>
        <w:rPr>
          <w:rFonts w:ascii="仿宋_GB2312" w:eastAsia="仿宋_GB2312" w:hAnsi="仿宋_GB2312" w:cs="仿宋_GB2312" w:hint="eastAsia"/>
          <w:color w:val="000000"/>
          <w:kern w:val="0"/>
          <w:sz w:val="32"/>
          <w:szCs w:val="32"/>
        </w:rPr>
        <w:t>常德市生态环境事务中心组织专家对《报告书》进行评审出具的“常环评估〔202</w:t>
      </w:r>
      <w:r>
        <w:rPr>
          <w:rFonts w:ascii="仿宋_GB2312" w:eastAsia="仿宋_GB2312" w:hAnsi="仿宋_GB2312" w:cs="仿宋_GB2312"/>
          <w:color w:val="000000"/>
          <w:kern w:val="0"/>
          <w:sz w:val="32"/>
          <w:szCs w:val="32"/>
        </w:rPr>
        <w:t>6</w:t>
      </w:r>
      <w:r>
        <w:rPr>
          <w:rFonts w:ascii="仿宋_GB2312" w:eastAsia="仿宋_GB2312" w:hAnsi="仿宋_GB2312" w:cs="仿宋_GB2312" w:hint="eastAsia"/>
          <w:color w:val="000000"/>
          <w:kern w:val="0"/>
          <w:sz w:val="32"/>
          <w:szCs w:val="32"/>
        </w:rPr>
        <w:t>〕</w:t>
      </w:r>
      <w:r>
        <w:rPr>
          <w:rFonts w:ascii="仿宋_GB2312" w:eastAsia="仿宋_GB2312" w:hAnsi="仿宋_GB2312" w:cs="仿宋_GB2312"/>
          <w:color w:val="000000"/>
          <w:kern w:val="0"/>
          <w:sz w:val="32"/>
          <w:szCs w:val="32"/>
        </w:rPr>
        <w:t>7</w:t>
      </w:r>
      <w:r>
        <w:rPr>
          <w:rFonts w:ascii="仿宋_GB2312" w:eastAsia="仿宋_GB2312" w:hAnsi="仿宋_GB2312" w:cs="仿宋_GB2312" w:hint="eastAsia"/>
          <w:color w:val="000000"/>
          <w:kern w:val="0"/>
          <w:sz w:val="32"/>
          <w:szCs w:val="32"/>
        </w:rPr>
        <w:t>号”技术评估报告、</w:t>
      </w:r>
      <w:r>
        <w:rPr>
          <w:rFonts w:ascii="仿宋_GB2312" w:eastAsia="仿宋_GB2312" w:hAnsi="仿宋" w:hint="eastAsia"/>
          <w:bCs/>
          <w:sz w:val="32"/>
          <w:szCs w:val="32"/>
        </w:rPr>
        <w:t>《报告书》受理后在网上公示期间未收到反馈意见的情况，</w:t>
      </w:r>
      <w:r>
        <w:rPr>
          <w:rFonts w:ascii="仿宋_GB2312" w:eastAsia="仿宋_GB2312" w:hint="eastAsia"/>
          <w:sz w:val="32"/>
          <w:szCs w:val="32"/>
        </w:rPr>
        <w:t>经研究，现批复如下:</w:t>
      </w:r>
    </w:p>
    <w:p w14:paraId="7D05A25F" w14:textId="77777777" w:rsidR="00343657" w:rsidRDefault="00000000">
      <w:pPr>
        <w:numPr>
          <w:ilvl w:val="0"/>
          <w:numId w:val="1"/>
        </w:numPr>
        <w:spacing w:line="560" w:lineRule="exact"/>
        <w:ind w:firstLineChars="200" w:firstLine="640"/>
        <w:rPr>
          <w:rFonts w:ascii="仿宋_GB2312" w:eastAsia="仿宋_GB2312"/>
          <w:sz w:val="32"/>
          <w:szCs w:val="32"/>
        </w:rPr>
      </w:pPr>
      <w:r>
        <w:rPr>
          <w:rFonts w:ascii="仿宋_GB2312" w:eastAsia="仿宋_GB2312" w:hAnsi="仿宋" w:cs="仿宋" w:hint="eastAsia"/>
          <w:sz w:val="32"/>
          <w:szCs w:val="32"/>
        </w:rPr>
        <w:t>该项目位于</w:t>
      </w:r>
      <w:r>
        <w:rPr>
          <w:rFonts w:ascii="仿宋_GB2312" w:eastAsia="仿宋_GB2312" w:hAnsi="仿宋" w:cs="仿宋"/>
          <w:sz w:val="32"/>
          <w:szCs w:val="32"/>
        </w:rPr>
        <w:t>常德高新区兴工路与富窑西路交汇处西南角，已取得《建设用地规划许可证》</w:t>
      </w:r>
      <w:r>
        <w:rPr>
          <w:rFonts w:ascii="Times New Roman" w:hAnsi="Times New Roman"/>
          <w:color w:val="000000"/>
          <w:sz w:val="24"/>
          <w:szCs w:val="24"/>
        </w:rPr>
        <w:t>（</w:t>
      </w:r>
      <w:proofErr w:type="gramStart"/>
      <w:r>
        <w:rPr>
          <w:rFonts w:ascii="仿宋_GB2312" w:eastAsia="仿宋_GB2312" w:hAnsi="仿宋" w:cs="仿宋"/>
          <w:sz w:val="32"/>
          <w:szCs w:val="32"/>
        </w:rPr>
        <w:t>湘常地</w:t>
      </w:r>
      <w:proofErr w:type="gramEnd"/>
      <w:r>
        <w:rPr>
          <w:rFonts w:ascii="仿宋_GB2312" w:eastAsia="仿宋_GB2312" w:hAnsi="仿宋" w:cs="仿宋"/>
          <w:sz w:val="32"/>
          <w:szCs w:val="32"/>
        </w:rPr>
        <w:t>字第430701202321010号</w:t>
      </w:r>
      <w:r>
        <w:rPr>
          <w:rFonts w:ascii="Times New Roman" w:hAnsi="Times New Roman"/>
          <w:color w:val="000000"/>
          <w:sz w:val="24"/>
          <w:szCs w:val="24"/>
        </w:rPr>
        <w:t>）</w:t>
      </w:r>
      <w:r>
        <w:rPr>
          <w:rFonts w:ascii="仿宋_GB2312" w:eastAsia="仿宋_GB2312" w:hAnsi="仿宋" w:cs="仿宋"/>
          <w:sz w:val="32"/>
          <w:szCs w:val="32"/>
        </w:rPr>
        <w:t>及不动产权证书（湘(2023)常德高新区不动产权第0004326号），</w:t>
      </w:r>
      <w:r>
        <w:rPr>
          <w:rFonts w:ascii="仿宋_GB2312" w:eastAsia="仿宋_GB2312"/>
          <w:sz w:val="32"/>
          <w:szCs w:val="32"/>
        </w:rPr>
        <w:t>建设内容包括1#研发楼（办公）、2#配套宿舍、3#厂房、4#厂房及5#辅助用房。项目设4条喷涂生产线，3#厂房2F为电吉他油性漆喷涂线（A</w:t>
      </w:r>
      <w:r>
        <w:rPr>
          <w:rFonts w:ascii="仿宋_GB2312" w:eastAsia="仿宋_GB2312"/>
          <w:sz w:val="32"/>
          <w:szCs w:val="32"/>
        </w:rPr>
        <w:lastRenderedPageBreak/>
        <w:t>线），3#厂房3F为木吉他油性漆喷涂线（B线），4#厂房2F为电吉他水性漆喷涂线（C线），4#厂房3F为木吉他水性漆喷涂线（D线），A吉他生产线形成年产42000支的规模，B吉他生产线形成年产30000支的规模，C吉他生产线形成年产98000支的规模，D吉他生产线形成年产70000支的规模，</w:t>
      </w:r>
      <w:r>
        <w:rPr>
          <w:rFonts w:ascii="仿宋_GB2312" w:eastAsia="仿宋_GB2312" w:hAnsi="仿宋" w:cs="仿宋"/>
          <w:sz w:val="32"/>
          <w:szCs w:val="32"/>
        </w:rPr>
        <w:t>年产吉他共24万支（其中年产木吉他10万支、年产电吉他14万支）,全年用漆总量62.316t，其中水性漆48.469t(占77.8%),油性漆13.847t（占22.2%）。总投资6000万元，其中环保投资646万元</w:t>
      </w:r>
      <w:r>
        <w:rPr>
          <w:rFonts w:ascii="仿宋_GB2312" w:eastAsia="仿宋_GB2312" w:hint="eastAsia"/>
          <w:sz w:val="32"/>
          <w:szCs w:val="32"/>
        </w:rPr>
        <w:t>。</w:t>
      </w:r>
      <w:r>
        <w:rPr>
          <w:rFonts w:ascii="仿宋_GB2312" w:eastAsia="仿宋_GB2312"/>
          <w:sz w:val="32"/>
          <w:szCs w:val="32"/>
        </w:rPr>
        <w:t>本项目3#厂房及1#研发楼（办公功能）已建成，部分生产设备已进场，相关违法线索已移交至常德市生态环境局综合执法支队，你公司应吸取教训，切实提高生态环境保护法治意识。</w:t>
      </w:r>
    </w:p>
    <w:p w14:paraId="5C3300D5" w14:textId="77777777" w:rsidR="00343657" w:rsidRDefault="00000000">
      <w:pPr>
        <w:numPr>
          <w:ilvl w:val="0"/>
          <w:numId w:val="1"/>
        </w:numPr>
        <w:spacing w:line="560" w:lineRule="exact"/>
        <w:ind w:firstLineChars="200" w:firstLine="640"/>
        <w:rPr>
          <w:rFonts w:ascii="仿宋_GB2312" w:eastAsia="仿宋_GB2312"/>
          <w:sz w:val="32"/>
          <w:szCs w:val="32"/>
        </w:rPr>
      </w:pPr>
      <w:r>
        <w:rPr>
          <w:rFonts w:ascii="仿宋_GB2312" w:eastAsia="仿宋_GB2312"/>
          <w:sz w:val="32"/>
          <w:szCs w:val="32"/>
        </w:rPr>
        <w:t>根据《报告书》的结论，结合常德高新技术产业开发区管理委员会出具的相关说明以及项目已经建设的实际情况，考虑到支持地方经济发展和优化营商环境的需要，建设单位在落实各项环保措施，强化日常管理，</w:t>
      </w:r>
      <w:r>
        <w:rPr>
          <w:rFonts w:ascii="仿宋_GB2312" w:eastAsia="仿宋_GB2312" w:hAnsi="仿宋" w:cs="仿宋"/>
          <w:sz w:val="32"/>
          <w:szCs w:val="32"/>
        </w:rPr>
        <w:t>确保污染物达标排放，</w:t>
      </w:r>
      <w:r>
        <w:rPr>
          <w:rFonts w:ascii="仿宋_GB2312" w:eastAsia="仿宋_GB2312"/>
          <w:sz w:val="32"/>
          <w:szCs w:val="32"/>
        </w:rPr>
        <w:t>最大限度减少对周边环境影响的情况下，从生态环境保护角度，我局原则同意你公司补办该</w:t>
      </w:r>
      <w:proofErr w:type="gramStart"/>
      <w:r>
        <w:rPr>
          <w:rFonts w:ascii="仿宋_GB2312" w:eastAsia="仿宋_GB2312"/>
          <w:sz w:val="32"/>
          <w:szCs w:val="32"/>
        </w:rPr>
        <w:t>项目环</w:t>
      </w:r>
      <w:proofErr w:type="gramEnd"/>
      <w:r>
        <w:rPr>
          <w:rFonts w:ascii="仿宋_GB2312" w:eastAsia="仿宋_GB2312"/>
          <w:sz w:val="32"/>
          <w:szCs w:val="32"/>
        </w:rPr>
        <w:t>评手续，并严格落实《报告书》及本批复提出的要求。</w:t>
      </w:r>
    </w:p>
    <w:p w14:paraId="2BB3E1FE" w14:textId="77777777" w:rsidR="00343657" w:rsidRDefault="00000000">
      <w:pPr>
        <w:spacing w:line="560" w:lineRule="exact"/>
        <w:ind w:firstLineChars="200" w:firstLine="640"/>
        <w:rPr>
          <w:rFonts w:ascii="仿宋_GB2312" w:eastAsia="仿宋_GB2312"/>
          <w:sz w:val="32"/>
          <w:szCs w:val="32"/>
        </w:rPr>
      </w:pPr>
      <w:r>
        <w:rPr>
          <w:rFonts w:ascii="仿宋_GB2312" w:eastAsia="仿宋_GB2312"/>
          <w:sz w:val="32"/>
          <w:szCs w:val="32"/>
        </w:rPr>
        <w:t>三</w:t>
      </w:r>
      <w:r>
        <w:rPr>
          <w:rFonts w:ascii="仿宋_GB2312" w:eastAsia="仿宋_GB2312" w:hint="eastAsia"/>
          <w:sz w:val="32"/>
          <w:szCs w:val="32"/>
        </w:rPr>
        <w:t>、项目在设计、建设和营运过程中必须严格执行“三同时”制度，重点做好以下环保工作：</w:t>
      </w:r>
    </w:p>
    <w:p w14:paraId="2EF1955B" w14:textId="77777777" w:rsidR="00343657" w:rsidRDefault="00000000">
      <w:pPr>
        <w:spacing w:line="560" w:lineRule="exact"/>
        <w:ind w:firstLineChars="200" w:firstLine="640"/>
        <w:rPr>
          <w:rFonts w:ascii="Times New Roman" w:eastAsia="仿宋_GB2312" w:hAnsi="Times New Roman"/>
          <w:sz w:val="32"/>
        </w:rPr>
      </w:pPr>
      <w:r>
        <w:rPr>
          <w:rFonts w:ascii="仿宋_GB2312" w:eastAsia="仿宋_GB2312" w:hint="eastAsia"/>
          <w:sz w:val="32"/>
          <w:szCs w:val="32"/>
        </w:rPr>
        <w:t>（一）</w:t>
      </w:r>
      <w:r>
        <w:rPr>
          <w:rFonts w:ascii="仿宋_GB2312" w:eastAsia="仿宋_GB2312"/>
          <w:sz w:val="32"/>
          <w:szCs w:val="32"/>
        </w:rPr>
        <w:t>严格落实废水污染防治措施</w:t>
      </w:r>
      <w:r>
        <w:rPr>
          <w:rFonts w:ascii="仿宋_GB2312" w:eastAsia="仿宋_GB2312" w:hint="eastAsia"/>
          <w:sz w:val="32"/>
          <w:szCs w:val="32"/>
        </w:rPr>
        <w:t>。进一步</w:t>
      </w:r>
      <w:r>
        <w:rPr>
          <w:rFonts w:ascii="仿宋_GB2312" w:eastAsia="仿宋_GB2312" w:hAnsi="仿宋" w:cs="仿宋" w:hint="eastAsia"/>
          <w:sz w:val="32"/>
          <w:szCs w:val="32"/>
        </w:rPr>
        <w:t>做好雨污分流、清污分流、污</w:t>
      </w:r>
      <w:proofErr w:type="gramStart"/>
      <w:r>
        <w:rPr>
          <w:rFonts w:ascii="仿宋_GB2312" w:eastAsia="仿宋_GB2312" w:hAnsi="仿宋" w:cs="仿宋" w:hint="eastAsia"/>
          <w:sz w:val="32"/>
          <w:szCs w:val="32"/>
        </w:rPr>
        <w:t>污</w:t>
      </w:r>
      <w:proofErr w:type="gramEnd"/>
      <w:r>
        <w:rPr>
          <w:rFonts w:ascii="仿宋_GB2312" w:eastAsia="仿宋_GB2312" w:hAnsi="仿宋" w:cs="仿宋" w:hint="eastAsia"/>
          <w:sz w:val="32"/>
          <w:szCs w:val="32"/>
        </w:rPr>
        <w:t>分流和废水分类收集、分质处理工作</w:t>
      </w:r>
      <w:r>
        <w:rPr>
          <w:rFonts w:ascii="仿宋_GB2312" w:eastAsia="仿宋_GB2312" w:hAnsi="仿宋" w:cs="仿宋"/>
          <w:sz w:val="32"/>
          <w:szCs w:val="32"/>
        </w:rPr>
        <w:t>。</w:t>
      </w:r>
      <w:r>
        <w:rPr>
          <w:rFonts w:ascii="仿宋_GB2312" w:eastAsia="仿宋_GB2312" w:hAnsi="仿宋" w:cs="仿宋" w:hint="eastAsia"/>
          <w:sz w:val="32"/>
          <w:szCs w:val="32"/>
        </w:rPr>
        <w:t>项目喷漆废气处理系统废水、喷枪清洗废水进入自建</w:t>
      </w:r>
      <w:r>
        <w:rPr>
          <w:rFonts w:ascii="仿宋_GB2312" w:eastAsia="仿宋_GB2312" w:hAnsi="仿宋" w:cs="仿宋" w:hint="eastAsia"/>
          <w:sz w:val="32"/>
          <w:szCs w:val="32"/>
        </w:rPr>
        <w:lastRenderedPageBreak/>
        <w:t>污水处理设施，通过“调节池+混凝沉淀+气浮+水解酸化+接触氧化+沉淀”工艺处理后，与经隔油池、化粪池处理后的生活污水一并进入常德高新技术产业开发区污水处理厂处理后达标排放。</w:t>
      </w:r>
      <w:r>
        <w:rPr>
          <w:rFonts w:ascii="仿宋_GB2312" w:eastAsia="仿宋_GB2312" w:hAnsi="仿宋" w:cs="仿宋"/>
          <w:sz w:val="32"/>
          <w:szCs w:val="32"/>
        </w:rPr>
        <w:t>所有外排废水执行《污水综合排放标准》（GB8978-1996）中三级标准及常德高新技术产业开发区污水处理厂进水水质要求。</w:t>
      </w:r>
    </w:p>
    <w:p w14:paraId="04FB93DC" w14:textId="77777777" w:rsidR="00343657" w:rsidRDefault="00000000">
      <w:pPr>
        <w:spacing w:line="560" w:lineRule="exact"/>
        <w:ind w:firstLineChars="200" w:firstLine="640"/>
        <w:outlineLvl w:val="2"/>
        <w:rPr>
          <w:rFonts w:ascii="仿宋_GB2312" w:eastAsia="仿宋_GB2312"/>
          <w:sz w:val="32"/>
          <w:szCs w:val="32"/>
        </w:rPr>
      </w:pPr>
      <w:r>
        <w:rPr>
          <w:rFonts w:ascii="仿宋_GB2312" w:eastAsia="仿宋_GB2312" w:hint="eastAsia"/>
          <w:sz w:val="32"/>
          <w:szCs w:val="32"/>
        </w:rPr>
        <w:t>（二）</w:t>
      </w:r>
      <w:r>
        <w:rPr>
          <w:rFonts w:ascii="仿宋_GB2312" w:eastAsia="仿宋_GB2312"/>
          <w:sz w:val="32"/>
          <w:szCs w:val="32"/>
        </w:rPr>
        <w:t>严格落实大气污染防治措施</w:t>
      </w:r>
      <w:r>
        <w:rPr>
          <w:rFonts w:ascii="仿宋_GB2312" w:eastAsia="仿宋_GB2312" w:hint="eastAsia"/>
          <w:sz w:val="32"/>
          <w:szCs w:val="32"/>
        </w:rPr>
        <w:t>。</w:t>
      </w:r>
    </w:p>
    <w:p w14:paraId="4264238E" w14:textId="77777777" w:rsidR="00343657" w:rsidRDefault="00000000">
      <w:pPr>
        <w:tabs>
          <w:tab w:val="left" w:pos="312"/>
        </w:tabs>
        <w:spacing w:line="560" w:lineRule="exact"/>
        <w:ind w:firstLineChars="200" w:firstLine="640"/>
        <w:outlineLvl w:val="2"/>
        <w:rPr>
          <w:rFonts w:ascii="仿宋_GB2312" w:eastAsia="仿宋_GB2312" w:hAnsi="仿宋" w:cs="仿宋" w:hint="eastAsia"/>
          <w:sz w:val="32"/>
          <w:szCs w:val="32"/>
        </w:rPr>
      </w:pPr>
      <w:r>
        <w:rPr>
          <w:rFonts w:ascii="仿宋_GB2312" w:eastAsia="仿宋_GB2312" w:hAnsi="仿宋_GB2312" w:cs="仿宋_GB2312" w:hint="eastAsia"/>
          <w:sz w:val="32"/>
          <w:szCs w:val="32"/>
        </w:rPr>
        <w:t>严控无组织排放。落实各项无组织废气控制措施，喷漆房保持密闭、微负压运行。调漆、喷漆、晾干等工序废气经密闭管道收集进入废气治理设施，打磨、抛光作业区、</w:t>
      </w:r>
      <w:proofErr w:type="gramStart"/>
      <w:r>
        <w:rPr>
          <w:rFonts w:ascii="仿宋_GB2312" w:eastAsia="仿宋_GB2312" w:hAnsi="仿宋_GB2312" w:cs="仿宋_GB2312" w:hint="eastAsia"/>
          <w:sz w:val="32"/>
          <w:szCs w:val="32"/>
        </w:rPr>
        <w:t>品线加工区</w:t>
      </w:r>
      <w:proofErr w:type="gramEnd"/>
      <w:r>
        <w:rPr>
          <w:rFonts w:ascii="仿宋_GB2312" w:eastAsia="仿宋_GB2312" w:hAnsi="仿宋_GB2312" w:cs="仿宋_GB2312" w:hint="eastAsia"/>
          <w:sz w:val="32"/>
          <w:szCs w:val="32"/>
        </w:rPr>
        <w:t>应实行封闭、形成负压，打磨、抛光产生</w:t>
      </w:r>
      <w:r>
        <w:rPr>
          <w:rFonts w:ascii="仿宋_GB2312" w:eastAsia="仿宋_GB2312" w:hAnsi="仿宋" w:cs="仿宋"/>
          <w:sz w:val="32"/>
          <w:szCs w:val="32"/>
        </w:rPr>
        <w:t>的粉尘经收集通过脉冲式滤芯打磨除尘</w:t>
      </w:r>
      <w:proofErr w:type="gramStart"/>
      <w:r>
        <w:rPr>
          <w:rFonts w:ascii="仿宋_GB2312" w:eastAsia="仿宋_GB2312" w:hAnsi="仿宋" w:cs="仿宋"/>
          <w:sz w:val="32"/>
          <w:szCs w:val="32"/>
        </w:rPr>
        <w:t>柜处理</w:t>
      </w:r>
      <w:proofErr w:type="gramEnd"/>
      <w:r>
        <w:rPr>
          <w:rFonts w:ascii="仿宋_GB2312" w:eastAsia="仿宋_GB2312" w:hAnsi="仿宋" w:cs="仿宋"/>
          <w:sz w:val="32"/>
          <w:szCs w:val="32"/>
        </w:rPr>
        <w:t>后无组织排放，</w:t>
      </w:r>
      <w:proofErr w:type="gramStart"/>
      <w:r>
        <w:rPr>
          <w:rFonts w:ascii="仿宋_GB2312" w:eastAsia="仿宋_GB2312" w:hAnsi="仿宋" w:cs="仿宋"/>
          <w:sz w:val="32"/>
          <w:szCs w:val="32"/>
        </w:rPr>
        <w:t>品线加工</w:t>
      </w:r>
      <w:proofErr w:type="gramEnd"/>
      <w:r>
        <w:rPr>
          <w:rFonts w:ascii="仿宋_GB2312" w:eastAsia="仿宋_GB2312" w:hAnsi="仿宋" w:cs="仿宋"/>
          <w:sz w:val="32"/>
          <w:szCs w:val="32"/>
        </w:rPr>
        <w:t>产生的粉尘通过小型滤筒除尘器处理后无组织排放。</w:t>
      </w:r>
    </w:p>
    <w:p w14:paraId="16B4E71D" w14:textId="77777777" w:rsidR="00343657" w:rsidRDefault="00000000">
      <w:pPr>
        <w:tabs>
          <w:tab w:val="left" w:pos="312"/>
        </w:tabs>
        <w:spacing w:line="560" w:lineRule="exact"/>
        <w:ind w:firstLineChars="200" w:firstLine="640"/>
        <w:outlineLvl w:val="2"/>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强化达标排放。本项目喷涂工艺各阶段所用涂料，其挥发性有机化合物（VOC</w:t>
      </w:r>
      <w:r>
        <w:rPr>
          <w:rFonts w:ascii="仿宋_GB2312" w:eastAsia="仿宋_GB2312" w:hAnsi="仿宋_GB2312" w:cs="仿宋_GB2312" w:hint="eastAsia"/>
          <w:sz w:val="32"/>
          <w:szCs w:val="32"/>
          <w:vertAlign w:val="subscript"/>
        </w:rPr>
        <w:t>S</w:t>
      </w:r>
      <w:r>
        <w:rPr>
          <w:rFonts w:ascii="仿宋_GB2312" w:eastAsia="仿宋_GB2312" w:hAnsi="仿宋_GB2312" w:cs="仿宋_GB2312" w:hint="eastAsia"/>
          <w:sz w:val="32"/>
          <w:szCs w:val="32"/>
        </w:rPr>
        <w:t>）含量需满足《低挥发性有机化合物含量涂料产品技术要求》（GB/T 38597-2020）的规定。3#厂房油性漆喷涂废气经“旋流喷淋塔+干式过滤器+活性炭吸附/脱附+催化燃烧”处理后通过30米排气筒（DA002）达标排放，3#厂房木加工粉尘经“中央集尘系统+布袋除尘器”处理后通过30米排气筒（DA001）达标排放；4#厂房水性漆喷涂废气经“水旋喷淋塔+干式过滤器+二级活性炭吸附”处理后通过30米排气筒（DA004）达标排放，4#厂房木加工粉尘经“中央集尘系统+布袋除尘器”处理后通过30米</w:t>
      </w:r>
      <w:r>
        <w:rPr>
          <w:rFonts w:ascii="仿宋_GB2312" w:eastAsia="仿宋_GB2312" w:hAnsi="仿宋_GB2312" w:cs="仿宋_GB2312" w:hint="eastAsia"/>
          <w:sz w:val="32"/>
          <w:szCs w:val="32"/>
        </w:rPr>
        <w:lastRenderedPageBreak/>
        <w:t>排气筒（DA003）达标排放。</w:t>
      </w:r>
      <w:proofErr w:type="gramStart"/>
      <w:r>
        <w:rPr>
          <w:rFonts w:ascii="仿宋_GB2312" w:eastAsia="仿宋_GB2312" w:hAnsi="仿宋_GB2312" w:cs="仿宋_GB2312" w:hint="eastAsia"/>
          <w:sz w:val="32"/>
          <w:szCs w:val="32"/>
        </w:rPr>
        <w:t>危废暂存</w:t>
      </w:r>
      <w:proofErr w:type="gramEnd"/>
      <w:r>
        <w:rPr>
          <w:rFonts w:ascii="仿宋_GB2312" w:eastAsia="仿宋_GB2312" w:hAnsi="仿宋_GB2312" w:cs="仿宋_GB2312" w:hint="eastAsia"/>
          <w:sz w:val="32"/>
          <w:szCs w:val="32"/>
        </w:rPr>
        <w:t>间废气通过“密闭负压抽风+二级活性炭吸附”处理后通过15米排气筒（DA005）达标排放。活性炭按照《报告书》明确的周期及时更换</w:t>
      </w:r>
      <w:r>
        <w:rPr>
          <w:rFonts w:ascii="仿宋_GB2312" w:eastAsia="仿宋_GB2312" w:hAnsi="仿宋_GB2312" w:cs="仿宋_GB2312" w:hint="eastAsia"/>
          <w:bCs/>
          <w:sz w:val="32"/>
        </w:rPr>
        <w:t>。</w:t>
      </w:r>
      <w:r>
        <w:rPr>
          <w:rFonts w:ascii="仿宋_GB2312" w:eastAsia="仿宋_GB2312" w:hAnsi="仿宋_GB2312" w:cs="仿宋_GB2312" w:hint="eastAsia"/>
          <w:sz w:val="32"/>
          <w:szCs w:val="32"/>
        </w:rPr>
        <w:t>厨房油烟废气通过静电油烟处理器处理后达标排放；污水处理站恶臭采用密闭池体+喷洒除臭剂措施。有组织污染物排放执行标准:非甲烷总烃、苯系</w:t>
      </w:r>
      <w:proofErr w:type="gramStart"/>
      <w:r>
        <w:rPr>
          <w:rFonts w:ascii="仿宋_GB2312" w:eastAsia="仿宋_GB2312" w:hAnsi="仿宋_GB2312" w:cs="仿宋_GB2312" w:hint="eastAsia"/>
          <w:sz w:val="32"/>
          <w:szCs w:val="32"/>
        </w:rPr>
        <w:t>物执行</w:t>
      </w:r>
      <w:proofErr w:type="gramEnd"/>
      <w:r>
        <w:rPr>
          <w:rFonts w:ascii="仿宋_GB2312" w:eastAsia="仿宋_GB2312" w:hAnsi="仿宋_GB2312" w:cs="仿宋_GB2312" w:hint="eastAsia"/>
          <w:sz w:val="32"/>
          <w:szCs w:val="32"/>
        </w:rPr>
        <w:t>《工业企业挥发性有机物排放标准》（DB43/3550-2026）中排放限值，颗粒</w:t>
      </w:r>
      <w:proofErr w:type="gramStart"/>
      <w:r>
        <w:rPr>
          <w:rFonts w:ascii="仿宋_GB2312" w:eastAsia="仿宋_GB2312" w:hAnsi="仿宋_GB2312" w:cs="仿宋_GB2312" w:hint="eastAsia"/>
          <w:sz w:val="32"/>
          <w:szCs w:val="32"/>
        </w:rPr>
        <w:t>物执行</w:t>
      </w:r>
      <w:proofErr w:type="gramEnd"/>
      <w:r>
        <w:rPr>
          <w:rFonts w:ascii="仿宋_GB2312" w:eastAsia="仿宋_GB2312" w:hAnsi="仿宋_GB2312" w:cs="仿宋_GB2312" w:hint="eastAsia"/>
          <w:sz w:val="32"/>
          <w:szCs w:val="32"/>
        </w:rPr>
        <w:t>《大气污染物综合排放标准》（GB16297-1996）中表2</w:t>
      </w:r>
      <w:proofErr w:type="gramStart"/>
      <w:r>
        <w:rPr>
          <w:rFonts w:ascii="仿宋_GB2312" w:eastAsia="仿宋_GB2312" w:hAnsi="仿宋_GB2312" w:cs="仿宋_GB2312" w:hint="eastAsia"/>
          <w:sz w:val="32"/>
          <w:szCs w:val="32"/>
        </w:rPr>
        <w:t>二</w:t>
      </w:r>
      <w:proofErr w:type="gramEnd"/>
      <w:r>
        <w:rPr>
          <w:rFonts w:ascii="仿宋_GB2312" w:eastAsia="仿宋_GB2312" w:hAnsi="仿宋_GB2312" w:cs="仿宋_GB2312" w:hint="eastAsia"/>
          <w:sz w:val="32"/>
          <w:szCs w:val="32"/>
        </w:rPr>
        <w:t>级排放限值，食堂油烟执行《饮食业油烟排放标准（试行）》（GB18483-2001）标准限值；厂界污染物排放执行标准：颗粒</w:t>
      </w:r>
      <w:proofErr w:type="gramStart"/>
      <w:r>
        <w:rPr>
          <w:rFonts w:ascii="仿宋_GB2312" w:eastAsia="仿宋_GB2312" w:hAnsi="仿宋_GB2312" w:cs="仿宋_GB2312" w:hint="eastAsia"/>
          <w:sz w:val="32"/>
          <w:szCs w:val="32"/>
        </w:rPr>
        <w:t>物执行</w:t>
      </w:r>
      <w:proofErr w:type="gramEnd"/>
      <w:r>
        <w:rPr>
          <w:rFonts w:ascii="仿宋_GB2312" w:eastAsia="仿宋_GB2312" w:hAnsi="仿宋_GB2312" w:cs="仿宋_GB2312" w:hint="eastAsia"/>
          <w:sz w:val="32"/>
          <w:szCs w:val="32"/>
        </w:rPr>
        <w:t>《大气污染物综合排放标准》（GB16297-1996）表 2无组织排放监控浓度限值，二甲苯、非甲烷总烃执行《大气污染物综合排放标准》（GB16297-1996）表 2 中无组织排放监控浓度限值，氨气、硫化氢、臭气浓度</w:t>
      </w:r>
      <w:proofErr w:type="gramStart"/>
      <w:r>
        <w:rPr>
          <w:rFonts w:ascii="仿宋_GB2312" w:eastAsia="仿宋_GB2312" w:hAnsi="仿宋_GB2312" w:cs="仿宋_GB2312" w:hint="eastAsia"/>
          <w:sz w:val="32"/>
          <w:szCs w:val="32"/>
        </w:rPr>
        <w:t>执行执行</w:t>
      </w:r>
      <w:proofErr w:type="gramEnd"/>
      <w:r>
        <w:rPr>
          <w:rFonts w:ascii="仿宋_GB2312" w:eastAsia="仿宋_GB2312" w:hAnsi="仿宋_GB2312" w:cs="仿宋_GB2312" w:hint="eastAsia"/>
          <w:sz w:val="32"/>
          <w:szCs w:val="32"/>
          <w:lang w:val="zh-CN"/>
        </w:rPr>
        <w:t>《</w:t>
      </w:r>
      <w:bookmarkStart w:id="0" w:name="OLE_LINK16"/>
      <w:r>
        <w:rPr>
          <w:rFonts w:ascii="仿宋_GB2312" w:eastAsia="仿宋_GB2312" w:hAnsi="仿宋_GB2312" w:cs="仿宋_GB2312" w:hint="eastAsia"/>
          <w:sz w:val="32"/>
          <w:szCs w:val="32"/>
          <w:lang w:val="zh-CN"/>
        </w:rPr>
        <w:t>恶臭污染物排放标准</w:t>
      </w:r>
      <w:bookmarkEnd w:id="0"/>
      <w:r>
        <w:rPr>
          <w:rFonts w:ascii="仿宋_GB2312" w:eastAsia="仿宋_GB2312" w:hAnsi="仿宋_GB2312" w:cs="仿宋_GB2312" w:hint="eastAsia"/>
          <w:sz w:val="32"/>
          <w:szCs w:val="32"/>
          <w:lang w:val="zh-CN"/>
        </w:rPr>
        <w:t>》</w:t>
      </w:r>
      <w:bookmarkStart w:id="1" w:name="OLE_LINK15"/>
      <w:r>
        <w:rPr>
          <w:rFonts w:ascii="仿宋_GB2312" w:eastAsia="仿宋_GB2312" w:hAnsi="仿宋_GB2312" w:cs="仿宋_GB2312" w:hint="eastAsia"/>
          <w:sz w:val="32"/>
          <w:szCs w:val="32"/>
          <w:lang w:val="zh-CN"/>
        </w:rPr>
        <w:t>（</w:t>
      </w:r>
      <w:r>
        <w:rPr>
          <w:rFonts w:ascii="仿宋_GB2312" w:eastAsia="仿宋_GB2312" w:hAnsi="仿宋_GB2312" w:cs="仿宋_GB2312" w:hint="eastAsia"/>
          <w:sz w:val="32"/>
          <w:szCs w:val="32"/>
        </w:rPr>
        <w:t>GB14554-93</w:t>
      </w:r>
      <w:r>
        <w:rPr>
          <w:rFonts w:ascii="仿宋_GB2312" w:eastAsia="仿宋_GB2312" w:hAnsi="仿宋_GB2312" w:cs="仿宋_GB2312" w:hint="eastAsia"/>
          <w:sz w:val="32"/>
          <w:szCs w:val="32"/>
          <w:lang w:val="zh-CN"/>
        </w:rPr>
        <w:t>）</w:t>
      </w:r>
      <w:bookmarkEnd w:id="1"/>
      <w:r>
        <w:rPr>
          <w:rFonts w:ascii="仿宋_GB2312" w:eastAsia="仿宋_GB2312" w:hAnsi="仿宋_GB2312" w:cs="仿宋_GB2312" w:hint="eastAsia"/>
          <w:sz w:val="32"/>
          <w:szCs w:val="32"/>
          <w:lang w:val="zh-CN"/>
        </w:rPr>
        <w:t>中的排放限值。厂区内VOCs无组织监控点浓度执行《</w:t>
      </w:r>
      <w:r>
        <w:rPr>
          <w:rFonts w:ascii="仿宋_GB2312" w:eastAsia="仿宋_GB2312" w:hAnsi="仿宋_GB2312" w:cs="仿宋_GB2312" w:hint="eastAsia"/>
          <w:sz w:val="32"/>
          <w:szCs w:val="32"/>
        </w:rPr>
        <w:t>工业企业挥发性有机物排放标准</w:t>
      </w:r>
      <w:r>
        <w:rPr>
          <w:rFonts w:ascii="仿宋_GB2312" w:eastAsia="仿宋_GB2312" w:hAnsi="仿宋_GB2312" w:cs="仿宋_GB2312" w:hint="eastAsia"/>
          <w:sz w:val="32"/>
          <w:szCs w:val="32"/>
          <w:lang w:val="zh-CN"/>
        </w:rPr>
        <w:t>》</w:t>
      </w:r>
      <w:r>
        <w:rPr>
          <w:rFonts w:ascii="仿宋_GB2312" w:eastAsia="仿宋_GB2312" w:hAnsi="仿宋_GB2312" w:cs="仿宋_GB2312" w:hint="eastAsia"/>
          <w:sz w:val="32"/>
          <w:szCs w:val="32"/>
        </w:rPr>
        <w:t>（DB43/3550-2026）中厂区内</w:t>
      </w:r>
      <w:r>
        <w:rPr>
          <w:rFonts w:ascii="仿宋_GB2312" w:eastAsia="仿宋_GB2312" w:hAnsi="仿宋_GB2312" w:cs="仿宋_GB2312" w:hint="eastAsia"/>
          <w:sz w:val="32"/>
          <w:szCs w:val="32"/>
          <w:lang w:val="zh-CN"/>
        </w:rPr>
        <w:t>VOCs无组织监控浓度限值。</w:t>
      </w:r>
    </w:p>
    <w:p w14:paraId="351305EC" w14:textId="77777777" w:rsidR="00343657" w:rsidRDefault="0000000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三)严格落实噪声污染防治措施。合理布局高噪声，对高噪声设备须采取有效隔声、减振降噪措施，合理安排生产时间，夜间不得生产，降低噪声对周围环境的影响。厂界噪声须符合《工业企业厂界环境噪声排放标准》（GB12348-2008）中相应标准要求，确保噪声</w:t>
      </w:r>
      <w:proofErr w:type="gramStart"/>
      <w:r>
        <w:rPr>
          <w:rFonts w:ascii="仿宋_GB2312" w:eastAsia="仿宋_GB2312" w:hAnsi="仿宋_GB2312" w:cs="仿宋_GB2312" w:hint="eastAsia"/>
          <w:sz w:val="32"/>
          <w:szCs w:val="32"/>
        </w:rPr>
        <w:t>不</w:t>
      </w:r>
      <w:proofErr w:type="gramEnd"/>
      <w:r>
        <w:rPr>
          <w:rFonts w:ascii="仿宋_GB2312" w:eastAsia="仿宋_GB2312" w:hAnsi="仿宋_GB2312" w:cs="仿宋_GB2312" w:hint="eastAsia"/>
          <w:sz w:val="32"/>
          <w:szCs w:val="32"/>
        </w:rPr>
        <w:t>扰民。</w:t>
      </w:r>
    </w:p>
    <w:p w14:paraId="35D70607" w14:textId="77777777" w:rsidR="00343657" w:rsidRDefault="0000000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(四)严格落实固体废物污染防治措施。按照“减量化、</w:t>
      </w:r>
      <w:r>
        <w:rPr>
          <w:rFonts w:ascii="仿宋_GB2312" w:eastAsia="仿宋_GB2312" w:hAnsi="仿宋_GB2312" w:cs="仿宋_GB2312" w:hint="eastAsia"/>
          <w:sz w:val="32"/>
          <w:szCs w:val="32"/>
        </w:rPr>
        <w:lastRenderedPageBreak/>
        <w:t>资源化、无害化”的原则做好固体废物的综合利用和安全处置工作。本项目危险废物暂存间需满足《危险废物贮存污染控制标准》(GB18597-2023)要求，固体废物</w:t>
      </w:r>
      <w:proofErr w:type="gramStart"/>
      <w:r>
        <w:rPr>
          <w:rFonts w:ascii="仿宋_GB2312" w:eastAsia="仿宋_GB2312" w:hAnsi="仿宋_GB2312" w:cs="仿宋_GB2312" w:hint="eastAsia"/>
          <w:sz w:val="32"/>
          <w:szCs w:val="32"/>
        </w:rPr>
        <w:t>贮存间须满足</w:t>
      </w:r>
      <w:proofErr w:type="gramEnd"/>
      <w:r>
        <w:rPr>
          <w:rFonts w:ascii="仿宋_GB2312" w:eastAsia="仿宋_GB2312" w:hAnsi="仿宋_GB2312" w:cs="仿宋_GB2312" w:hint="eastAsia"/>
          <w:sz w:val="32"/>
          <w:szCs w:val="32"/>
        </w:rPr>
        <w:t>《一般工业固体废物贮存和填埋污染控制标准》(GB18599-2020)要求。本项目漆渣、废包装桶、废干式过滤材料、废催化剂、废活性炭、废机油、含油废抹布和手套、自建废水处理站污泥等</w:t>
      </w:r>
      <w:proofErr w:type="gramStart"/>
      <w:r>
        <w:rPr>
          <w:rFonts w:ascii="仿宋_GB2312" w:eastAsia="仿宋_GB2312" w:hAnsi="仿宋_GB2312" w:cs="仿宋_GB2312" w:hint="eastAsia"/>
          <w:sz w:val="32"/>
          <w:szCs w:val="32"/>
        </w:rPr>
        <w:t>危废严格</w:t>
      </w:r>
      <w:proofErr w:type="gramEnd"/>
      <w:r>
        <w:rPr>
          <w:rFonts w:ascii="仿宋_GB2312" w:eastAsia="仿宋_GB2312" w:hAnsi="仿宋_GB2312" w:cs="仿宋_GB2312" w:hint="eastAsia"/>
          <w:sz w:val="32"/>
          <w:szCs w:val="32"/>
        </w:rPr>
        <w:t>按照《危险废物贮存污染控制标准》(GB18597-2023)要求进行管理，定期交法定资质单位处置，并严格落实危险废物转移联单制度。生活垃圾进行分类收集后交环卫部门处置。</w:t>
      </w:r>
    </w:p>
    <w:p w14:paraId="150F0579" w14:textId="77777777" w:rsidR="00343657" w:rsidRDefault="00000000">
      <w:pPr>
        <w:spacing w:line="560" w:lineRule="exact"/>
        <w:ind w:firstLineChars="200" w:firstLine="640"/>
        <w:rPr>
          <w:rFonts w:ascii="仿宋_GB2312" w:eastAsia="仿宋_GB2312" w:hAnsi="仿宋_GB2312" w:cs="仿宋_GB2312" w:hint="eastAsia"/>
          <w:bCs/>
          <w:sz w:val="32"/>
        </w:rPr>
      </w:pPr>
      <w:r>
        <w:rPr>
          <w:rFonts w:ascii="仿宋_GB2312" w:eastAsia="仿宋_GB2312" w:hAnsi="仿宋_GB2312" w:cs="仿宋_GB2312" w:hint="eastAsia"/>
          <w:sz w:val="32"/>
          <w:szCs w:val="32"/>
        </w:rPr>
        <w:t>(五)加强环境风险防范。制定突发环境事件应急预案，并与当地相关应急预案进行有效衔接，掌握应急资源，备齐应急物资，加强应急培训和演练，提高各方应急能力。设置不小于250m</w:t>
      </w:r>
      <w:r>
        <w:rPr>
          <w:rFonts w:ascii="仿宋_GB2312" w:eastAsia="仿宋_GB2312" w:hAnsi="仿宋_GB2312" w:cs="仿宋_GB2312" w:hint="eastAsia"/>
          <w:sz w:val="32"/>
          <w:szCs w:val="32"/>
          <w:vertAlign w:val="superscript"/>
        </w:rPr>
        <w:t>3</w:t>
      </w:r>
      <w:r>
        <w:rPr>
          <w:rFonts w:ascii="仿宋_GB2312" w:eastAsia="仿宋_GB2312" w:hAnsi="仿宋_GB2312" w:cs="仿宋_GB2312" w:hint="eastAsia"/>
          <w:sz w:val="32"/>
          <w:szCs w:val="32"/>
        </w:rPr>
        <w:t>的事故池，事故废水应急池在非事故时处于空置状态，各生产车间、</w:t>
      </w:r>
      <w:proofErr w:type="gramStart"/>
      <w:r>
        <w:rPr>
          <w:rFonts w:ascii="仿宋_GB2312" w:eastAsia="仿宋_GB2312" w:hAnsi="仿宋_GB2312" w:cs="仿宋_GB2312" w:hint="eastAsia"/>
          <w:sz w:val="32"/>
          <w:szCs w:val="32"/>
        </w:rPr>
        <w:t>危废暂存</w:t>
      </w:r>
      <w:proofErr w:type="gramEnd"/>
      <w:r>
        <w:rPr>
          <w:rFonts w:ascii="仿宋_GB2312" w:eastAsia="仿宋_GB2312" w:hAnsi="仿宋_GB2312" w:cs="仿宋_GB2312" w:hint="eastAsia"/>
          <w:sz w:val="32"/>
          <w:szCs w:val="32"/>
        </w:rPr>
        <w:t>间四周设置废水收集管并与事故应急</w:t>
      </w:r>
      <w:proofErr w:type="gramStart"/>
      <w:r>
        <w:rPr>
          <w:rFonts w:ascii="仿宋_GB2312" w:eastAsia="仿宋_GB2312" w:hAnsi="仿宋_GB2312" w:cs="仿宋_GB2312" w:hint="eastAsia"/>
          <w:sz w:val="32"/>
          <w:szCs w:val="32"/>
        </w:rPr>
        <w:t>池保持</w:t>
      </w:r>
      <w:proofErr w:type="gramEnd"/>
      <w:r>
        <w:rPr>
          <w:rFonts w:ascii="仿宋_GB2312" w:eastAsia="仿宋_GB2312" w:hAnsi="仿宋_GB2312" w:cs="仿宋_GB2312" w:hint="eastAsia"/>
          <w:sz w:val="32"/>
          <w:szCs w:val="32"/>
        </w:rPr>
        <w:t>联通，确保发生事故时全厂的消防废水和事故废水能集中收集经妥善处理达标后排放。强化事故废水、废气应急处理措施，确保发生设备故障或生产事故时所产生的废水、废气等得到有效控制。</w:t>
      </w:r>
    </w:p>
    <w:p w14:paraId="7C51BF02" w14:textId="77777777" w:rsidR="00343657" w:rsidRDefault="00000000">
      <w:pPr>
        <w:spacing w:line="560" w:lineRule="exact"/>
        <w:ind w:firstLineChars="200" w:firstLine="640"/>
        <w:rPr>
          <w:rFonts w:ascii="仿宋_GB2312" w:eastAsia="仿宋_GB2312" w:hAnsi="仿宋_GB2312" w:cs="仿宋_GB2312" w:hint="eastAsia"/>
          <w:bCs/>
          <w:sz w:val="32"/>
        </w:rPr>
      </w:pPr>
      <w:r>
        <w:rPr>
          <w:rFonts w:ascii="仿宋_GB2312" w:eastAsia="仿宋_GB2312" w:hAnsi="仿宋_GB2312" w:cs="仿宋_GB2312" w:hint="eastAsia"/>
          <w:sz w:val="32"/>
          <w:szCs w:val="32"/>
        </w:rPr>
        <w:t>(六)按照《排污单位自行监测技术指南 总则》（HJ819-2017）等规定，落实《报告书》提出的监测计划，做好</w:t>
      </w:r>
      <w:proofErr w:type="gramStart"/>
      <w:r>
        <w:rPr>
          <w:rFonts w:ascii="仿宋_GB2312" w:eastAsia="仿宋_GB2312" w:hAnsi="仿宋_GB2312" w:cs="仿宋_GB2312" w:hint="eastAsia"/>
          <w:sz w:val="32"/>
          <w:szCs w:val="32"/>
        </w:rPr>
        <w:t>各类原辅</w:t>
      </w:r>
      <w:proofErr w:type="gramEnd"/>
      <w:r>
        <w:rPr>
          <w:rFonts w:ascii="仿宋_GB2312" w:eastAsia="仿宋_GB2312" w:hAnsi="仿宋_GB2312" w:cs="仿宋_GB2312" w:hint="eastAsia"/>
          <w:sz w:val="32"/>
          <w:szCs w:val="32"/>
        </w:rPr>
        <w:t>材料消耗量、危险固</w:t>
      </w:r>
      <w:proofErr w:type="gramStart"/>
      <w:r>
        <w:rPr>
          <w:rFonts w:ascii="仿宋_GB2312" w:eastAsia="仿宋_GB2312" w:hAnsi="仿宋_GB2312" w:cs="仿宋_GB2312" w:hint="eastAsia"/>
          <w:sz w:val="32"/>
          <w:szCs w:val="32"/>
        </w:rPr>
        <w:t>废产生</w:t>
      </w:r>
      <w:proofErr w:type="gramEnd"/>
      <w:r>
        <w:rPr>
          <w:rFonts w:ascii="仿宋_GB2312" w:eastAsia="仿宋_GB2312" w:hAnsi="仿宋_GB2312" w:cs="仿宋_GB2312" w:hint="eastAsia"/>
          <w:sz w:val="32"/>
          <w:szCs w:val="32"/>
        </w:rPr>
        <w:t>量、废水、废气污染物排放量、污染物监测、设备运行等台账记录。按要求设置地下水监测井，定期检查所有涉污场地防渗的可靠</w:t>
      </w:r>
      <w:r>
        <w:rPr>
          <w:rFonts w:ascii="仿宋_GB2312" w:eastAsia="仿宋_GB2312" w:hAnsi="仿宋_GB2312" w:cs="仿宋_GB2312" w:hint="eastAsia"/>
          <w:sz w:val="32"/>
          <w:szCs w:val="32"/>
        </w:rPr>
        <w:lastRenderedPageBreak/>
        <w:t>性，防止地下水和土壤污染。</w:t>
      </w:r>
    </w:p>
    <w:p w14:paraId="67199793" w14:textId="77777777" w:rsidR="00343657" w:rsidRDefault="00000000">
      <w:pPr>
        <w:spacing w:line="560" w:lineRule="exact"/>
        <w:ind w:firstLineChars="200" w:firstLine="640"/>
        <w:rPr>
          <w:rFonts w:ascii="仿宋_GB2312" w:eastAsia="仿宋_GB2312" w:hAnsi="仿宋_GB2312" w:cs="仿宋_GB2312" w:hint="eastAsia"/>
          <w:color w:val="000000"/>
        </w:rPr>
      </w:pPr>
      <w:r>
        <w:rPr>
          <w:rFonts w:ascii="仿宋_GB2312" w:eastAsia="仿宋_GB2312" w:hAnsi="仿宋_GB2312" w:cs="仿宋_GB2312" w:hint="eastAsia"/>
          <w:sz w:val="32"/>
          <w:szCs w:val="32"/>
        </w:rPr>
        <w:t>四、依据《报告书》，该项目主要污染物排放总量指标：化学需氧量为</w:t>
      </w:r>
      <w:r>
        <w:rPr>
          <w:rFonts w:ascii="仿宋_GB2312" w:eastAsia="仿宋_GB2312" w:hAnsi="仿宋_GB2312" w:cs="仿宋_GB2312" w:hint="eastAsia"/>
          <w:bCs/>
          <w:sz w:val="32"/>
        </w:rPr>
        <w:t>0.52</w:t>
      </w:r>
      <w:r>
        <w:rPr>
          <w:rFonts w:ascii="仿宋_GB2312" w:eastAsia="仿宋_GB2312" w:hAnsi="仿宋_GB2312" w:cs="仿宋_GB2312" w:hint="eastAsia"/>
          <w:sz w:val="32"/>
          <w:szCs w:val="32"/>
        </w:rPr>
        <w:t>吨/年、氨氮为</w:t>
      </w:r>
      <w:r>
        <w:rPr>
          <w:rFonts w:ascii="仿宋_GB2312" w:eastAsia="仿宋_GB2312" w:hAnsi="仿宋_GB2312" w:cs="仿宋_GB2312" w:hint="eastAsia"/>
          <w:bCs/>
          <w:sz w:val="32"/>
        </w:rPr>
        <w:t>0.09</w:t>
      </w:r>
      <w:r>
        <w:rPr>
          <w:rFonts w:ascii="仿宋_GB2312" w:eastAsia="仿宋_GB2312" w:hAnsi="仿宋_GB2312" w:cs="仿宋_GB2312" w:hint="eastAsia"/>
          <w:sz w:val="32"/>
          <w:szCs w:val="32"/>
        </w:rPr>
        <w:t>吨/年、总磷0.01吨/年、总氮0.16吨/年；VOCs2.2295吨/年。</w:t>
      </w:r>
      <w:r>
        <w:rPr>
          <w:rFonts w:ascii="仿宋_GB2312" w:eastAsia="仿宋_GB2312" w:hAnsi="仿宋_GB2312" w:cs="仿宋_GB2312"/>
          <w:sz w:val="32"/>
          <w:szCs w:val="32"/>
        </w:rPr>
        <w:t>新增污染物总量指标为：</w:t>
      </w:r>
      <w:r>
        <w:rPr>
          <w:rFonts w:ascii="仿宋_GB2312" w:eastAsia="仿宋_GB2312" w:hAnsi="仿宋_GB2312" w:cs="仿宋_GB2312" w:hint="eastAsia"/>
          <w:sz w:val="32"/>
          <w:szCs w:val="32"/>
        </w:rPr>
        <w:t>化学需氧量为</w:t>
      </w:r>
      <w:r>
        <w:rPr>
          <w:rFonts w:ascii="仿宋_GB2312" w:eastAsia="仿宋_GB2312" w:hAnsi="仿宋_GB2312" w:cs="仿宋_GB2312" w:hint="eastAsia"/>
          <w:bCs/>
          <w:sz w:val="32"/>
        </w:rPr>
        <w:t>0.</w:t>
      </w:r>
      <w:r>
        <w:rPr>
          <w:rFonts w:ascii="仿宋_GB2312" w:eastAsia="仿宋_GB2312" w:hAnsi="仿宋_GB2312" w:cs="仿宋_GB2312"/>
          <w:bCs/>
          <w:sz w:val="32"/>
        </w:rPr>
        <w:t>07</w:t>
      </w:r>
      <w:r>
        <w:rPr>
          <w:rFonts w:ascii="仿宋_GB2312" w:eastAsia="仿宋_GB2312" w:hAnsi="仿宋_GB2312" w:cs="仿宋_GB2312" w:hint="eastAsia"/>
          <w:sz w:val="32"/>
          <w:szCs w:val="32"/>
        </w:rPr>
        <w:t>吨/年、氨氮为</w:t>
      </w:r>
      <w:r>
        <w:rPr>
          <w:rFonts w:ascii="仿宋_GB2312" w:eastAsia="仿宋_GB2312" w:hAnsi="仿宋_GB2312" w:cs="仿宋_GB2312" w:hint="eastAsia"/>
          <w:bCs/>
          <w:sz w:val="32"/>
        </w:rPr>
        <w:t>0.0</w:t>
      </w:r>
      <w:r>
        <w:rPr>
          <w:rFonts w:ascii="仿宋_GB2312" w:eastAsia="仿宋_GB2312" w:hAnsi="仿宋_GB2312" w:cs="仿宋_GB2312"/>
          <w:bCs/>
          <w:sz w:val="32"/>
        </w:rPr>
        <w:t>1</w:t>
      </w:r>
      <w:r>
        <w:rPr>
          <w:rFonts w:ascii="仿宋_GB2312" w:eastAsia="仿宋_GB2312" w:hAnsi="仿宋_GB2312" w:cs="仿宋_GB2312" w:hint="eastAsia"/>
          <w:sz w:val="32"/>
          <w:szCs w:val="32"/>
        </w:rPr>
        <w:t>吨/年、总磷0.01吨/年、总氮0.16吨/年；VOCs2.2295吨/年</w:t>
      </w:r>
      <w:r>
        <w:rPr>
          <w:rFonts w:ascii="仿宋_GB2312" w:eastAsia="仿宋_GB2312" w:hAnsi="仿宋_GB2312" w:cs="仿宋_GB2312"/>
          <w:sz w:val="32"/>
          <w:szCs w:val="32"/>
        </w:rPr>
        <w:t>。</w:t>
      </w:r>
      <w:r>
        <w:rPr>
          <w:rFonts w:ascii="仿宋_GB2312" w:eastAsia="仿宋_GB2312" w:hAnsi="仿宋_GB2312" w:cs="仿宋_GB2312" w:hint="eastAsia"/>
          <w:sz w:val="32"/>
          <w:szCs w:val="32"/>
        </w:rPr>
        <w:t>以上所需购买总量指标应由常德市排污权交易中心进行交易并确认。建设单位在投产之前，需提交经属地生态环境部门、市生态环境局大气科认定的新增污染物总量削减替代方案及落实情况证明材料。</w:t>
      </w:r>
    </w:p>
    <w:p w14:paraId="5BD8D950" w14:textId="77777777" w:rsidR="00343657" w:rsidRDefault="0000000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五、《报告书》经批准后，建设项目若发生重大变动，应重新向我局报批环境影响评价文件；或自批准之日起超过五年，方决定建设项目开工建设的，其环境影响评价文件应报我局重新审核。</w:t>
      </w:r>
    </w:p>
    <w:p w14:paraId="2915B605" w14:textId="77777777" w:rsidR="00343657" w:rsidRDefault="0000000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六、该项目在启动生产设施或在实际排污之前应依法申领排污许可证，项目建成后对配套建设的环境保护设施组织验收，编制验收报告并依法向社会公开。</w:t>
      </w:r>
    </w:p>
    <w:p w14:paraId="40F49D22" w14:textId="77777777" w:rsidR="00343657" w:rsidRDefault="0000000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七、该项目的环境保护“三同时”监督检查及日常环境管理工作按属地管理原则由常德市</w:t>
      </w:r>
      <w:proofErr w:type="gramStart"/>
      <w:r>
        <w:rPr>
          <w:rFonts w:ascii="仿宋_GB2312" w:eastAsia="仿宋_GB2312" w:hAnsi="仿宋_GB2312" w:cs="仿宋_GB2312" w:hint="eastAsia"/>
          <w:sz w:val="32"/>
          <w:szCs w:val="32"/>
        </w:rPr>
        <w:t>生态环境局鼎城</w:t>
      </w:r>
      <w:proofErr w:type="gramEnd"/>
      <w:r>
        <w:rPr>
          <w:rFonts w:ascii="仿宋_GB2312" w:eastAsia="仿宋_GB2312" w:hAnsi="仿宋_GB2312" w:cs="仿宋_GB2312" w:hint="eastAsia"/>
          <w:sz w:val="32"/>
          <w:szCs w:val="32"/>
        </w:rPr>
        <w:t>分局具体负责。建设单位应在收到本批复后的15个工作日内，将批准后的《报告书》及本批复送至常德市</w:t>
      </w:r>
      <w:proofErr w:type="gramStart"/>
      <w:r>
        <w:rPr>
          <w:rFonts w:ascii="仿宋_GB2312" w:eastAsia="仿宋_GB2312" w:hAnsi="仿宋_GB2312" w:cs="仿宋_GB2312" w:hint="eastAsia"/>
          <w:sz w:val="32"/>
          <w:szCs w:val="32"/>
        </w:rPr>
        <w:t>生态环境局鼎城</w:t>
      </w:r>
      <w:proofErr w:type="gramEnd"/>
      <w:r>
        <w:rPr>
          <w:rFonts w:ascii="仿宋_GB2312" w:eastAsia="仿宋_GB2312" w:hAnsi="仿宋_GB2312" w:cs="仿宋_GB2312" w:hint="eastAsia"/>
          <w:sz w:val="32"/>
          <w:szCs w:val="32"/>
        </w:rPr>
        <w:t>分局。</w:t>
      </w:r>
    </w:p>
    <w:p w14:paraId="033CE77D" w14:textId="77777777" w:rsidR="00343657" w:rsidRDefault="00343657">
      <w:pPr>
        <w:spacing w:line="560" w:lineRule="exact"/>
        <w:ind w:firstLineChars="200" w:firstLine="600"/>
        <w:rPr>
          <w:rFonts w:ascii="仿宋_GB2312" w:eastAsia="仿宋_GB2312"/>
          <w:spacing w:val="-10"/>
          <w:sz w:val="32"/>
          <w:szCs w:val="32"/>
        </w:rPr>
      </w:pPr>
    </w:p>
    <w:p w14:paraId="52895A7C" w14:textId="77777777" w:rsidR="00343657" w:rsidRDefault="00343657">
      <w:pPr>
        <w:spacing w:line="560" w:lineRule="exact"/>
        <w:ind w:firstLineChars="200" w:firstLine="640"/>
        <w:rPr>
          <w:rFonts w:ascii="仿宋_GB2312" w:eastAsia="仿宋_GB2312"/>
          <w:sz w:val="32"/>
          <w:szCs w:val="32"/>
        </w:rPr>
      </w:pPr>
    </w:p>
    <w:p w14:paraId="7A612A1A" w14:textId="77777777" w:rsidR="00343657" w:rsidRDefault="00000000">
      <w:pPr>
        <w:tabs>
          <w:tab w:val="left" w:pos="605"/>
          <w:tab w:val="left" w:pos="7560"/>
        </w:tabs>
        <w:spacing w:line="560" w:lineRule="exact"/>
        <w:ind w:firstLineChars="200" w:firstLine="640"/>
        <w:rPr>
          <w:rFonts w:ascii="仿宋_GB2312" w:eastAsia="仿宋_GB2312"/>
          <w:sz w:val="32"/>
          <w:szCs w:val="32"/>
        </w:rPr>
      </w:pPr>
      <w:r>
        <w:rPr>
          <w:rFonts w:ascii="仿宋_GB2312" w:eastAsia="仿宋_GB2312" w:hint="eastAsia"/>
          <w:sz w:val="32"/>
          <w:szCs w:val="32"/>
        </w:rPr>
        <w:lastRenderedPageBreak/>
        <w:t xml:space="preserve">                           常德市生态环境局</w:t>
      </w:r>
    </w:p>
    <w:p w14:paraId="7C991D3B" w14:textId="77777777" w:rsidR="00343657" w:rsidRDefault="00000000">
      <w:pPr>
        <w:spacing w:line="560" w:lineRule="exact"/>
        <w:ind w:firstLineChars="1600" w:firstLine="5120"/>
        <w:rPr>
          <w:rFonts w:ascii="仿宋_GB2312" w:eastAsia="仿宋_GB2312"/>
          <w:sz w:val="32"/>
          <w:szCs w:val="32"/>
        </w:rPr>
      </w:pPr>
      <w:r>
        <w:rPr>
          <w:rFonts w:ascii="仿宋_GB2312" w:eastAsia="仿宋_GB2312" w:hint="eastAsia"/>
          <w:sz w:val="32"/>
          <w:szCs w:val="32"/>
        </w:rPr>
        <w:t>202</w:t>
      </w:r>
      <w:r>
        <w:rPr>
          <w:rFonts w:ascii="仿宋_GB2312" w:eastAsia="仿宋_GB2312"/>
          <w:sz w:val="32"/>
          <w:szCs w:val="32"/>
        </w:rPr>
        <w:t>6</w:t>
      </w:r>
      <w:r>
        <w:rPr>
          <w:rFonts w:ascii="仿宋_GB2312" w:eastAsia="仿宋_GB2312" w:hint="eastAsia"/>
          <w:sz w:val="32"/>
          <w:szCs w:val="32"/>
        </w:rPr>
        <w:t>年</w:t>
      </w:r>
      <w:r>
        <w:rPr>
          <w:rFonts w:ascii="仿宋_GB2312" w:eastAsia="仿宋_GB2312"/>
          <w:sz w:val="32"/>
          <w:szCs w:val="32"/>
        </w:rPr>
        <w:t>9</w:t>
      </w:r>
      <w:r>
        <w:rPr>
          <w:rFonts w:ascii="仿宋_GB2312" w:eastAsia="仿宋_GB2312" w:hint="eastAsia"/>
          <w:sz w:val="32"/>
          <w:szCs w:val="32"/>
        </w:rPr>
        <w:t>月</w:t>
      </w:r>
      <w:r>
        <w:rPr>
          <w:rFonts w:ascii="仿宋_GB2312" w:eastAsia="仿宋_GB2312"/>
          <w:sz w:val="32"/>
          <w:szCs w:val="32"/>
        </w:rPr>
        <w:t>4</w:t>
      </w:r>
      <w:r>
        <w:rPr>
          <w:rFonts w:ascii="仿宋_GB2312" w:eastAsia="仿宋_GB2312" w:hint="eastAsia"/>
          <w:sz w:val="32"/>
          <w:szCs w:val="32"/>
        </w:rPr>
        <w:t>日</w:t>
      </w:r>
    </w:p>
    <w:p w14:paraId="19034EF5" w14:textId="77777777" w:rsidR="00343657" w:rsidRDefault="00343657">
      <w:pPr>
        <w:pStyle w:val="3"/>
      </w:pPr>
    </w:p>
    <w:p w14:paraId="2EF8BD7C" w14:textId="77777777" w:rsidR="00343657" w:rsidRDefault="00343657"/>
    <w:p w14:paraId="178A0588" w14:textId="77777777" w:rsidR="00343657" w:rsidRDefault="00343657"/>
    <w:p w14:paraId="2502F0D3" w14:textId="77777777" w:rsidR="00343657" w:rsidRDefault="00343657"/>
    <w:p w14:paraId="7CDD8DE3" w14:textId="77777777" w:rsidR="00343657" w:rsidRDefault="00343657"/>
    <w:p w14:paraId="5A99495B" w14:textId="77777777" w:rsidR="00343657" w:rsidRDefault="00343657"/>
    <w:p w14:paraId="45A006B1" w14:textId="77777777" w:rsidR="00343657" w:rsidRDefault="00343657"/>
    <w:p w14:paraId="272D9DF4" w14:textId="77777777" w:rsidR="00343657" w:rsidRDefault="00343657"/>
    <w:p w14:paraId="1C115177" w14:textId="77777777" w:rsidR="00343657" w:rsidRDefault="00343657"/>
    <w:p w14:paraId="5F6F0211" w14:textId="77777777" w:rsidR="00343657" w:rsidRDefault="00343657"/>
    <w:p w14:paraId="40AF3D16" w14:textId="77777777" w:rsidR="00343657" w:rsidRDefault="00343657"/>
    <w:p w14:paraId="1DC758F3" w14:textId="77777777" w:rsidR="00343657" w:rsidRDefault="00343657"/>
    <w:p w14:paraId="03AC2199" w14:textId="77777777" w:rsidR="00343657" w:rsidRDefault="00343657"/>
    <w:p w14:paraId="7D918A59" w14:textId="77777777" w:rsidR="00343657" w:rsidRDefault="00343657"/>
    <w:p w14:paraId="53757922" w14:textId="77777777" w:rsidR="00343657" w:rsidRDefault="00343657"/>
    <w:p w14:paraId="5CB4F07B" w14:textId="77777777" w:rsidR="00343657" w:rsidRDefault="00343657"/>
    <w:p w14:paraId="247A8470" w14:textId="77777777" w:rsidR="00343657" w:rsidRDefault="00343657"/>
    <w:p w14:paraId="0B3789CB" w14:textId="77777777" w:rsidR="00343657" w:rsidRDefault="00343657"/>
    <w:p w14:paraId="6CADE0B3" w14:textId="77777777" w:rsidR="00343657" w:rsidRDefault="00343657"/>
    <w:p w14:paraId="65921675" w14:textId="77777777" w:rsidR="00343657" w:rsidRDefault="00343657"/>
    <w:p w14:paraId="307461D8" w14:textId="77777777" w:rsidR="00343657" w:rsidRDefault="00343657"/>
    <w:p w14:paraId="7BDA5F0D" w14:textId="77777777" w:rsidR="00343657" w:rsidRDefault="00343657"/>
    <w:p w14:paraId="037D6FC9" w14:textId="77777777" w:rsidR="00343657" w:rsidRDefault="00343657"/>
    <w:p w14:paraId="7E362172" w14:textId="77777777" w:rsidR="00343657" w:rsidRDefault="00343657"/>
    <w:p w14:paraId="7DAE11CA" w14:textId="77777777" w:rsidR="00343657" w:rsidRDefault="00343657"/>
    <w:p w14:paraId="19ED6A7F" w14:textId="77777777" w:rsidR="00343657" w:rsidRDefault="00343657"/>
    <w:p w14:paraId="441B4435" w14:textId="77777777" w:rsidR="00343657" w:rsidRDefault="00343657"/>
    <w:p w14:paraId="65147653" w14:textId="77777777" w:rsidR="00343657" w:rsidRDefault="00343657"/>
    <w:p w14:paraId="5D0C3C85" w14:textId="77777777" w:rsidR="00343657" w:rsidRDefault="00343657"/>
    <w:p w14:paraId="397AA983" w14:textId="77777777" w:rsidR="00343657" w:rsidRDefault="00343657"/>
    <w:p w14:paraId="31C5CF59" w14:textId="77777777" w:rsidR="00343657" w:rsidRDefault="00343657"/>
    <w:p w14:paraId="0CB04B1F" w14:textId="77777777" w:rsidR="00343657" w:rsidRDefault="00343657"/>
    <w:p w14:paraId="623EAA2B" w14:textId="77777777" w:rsidR="00343657" w:rsidRDefault="00343657"/>
    <w:p w14:paraId="19131F85" w14:textId="77777777" w:rsidR="00343657" w:rsidRDefault="00343657"/>
    <w:p w14:paraId="0DACFA60" w14:textId="77777777" w:rsidR="00343657" w:rsidRDefault="00343657"/>
    <w:p w14:paraId="400DEC2C" w14:textId="77777777" w:rsidR="00343657" w:rsidRDefault="00343657"/>
    <w:p w14:paraId="712A2FC5" w14:textId="77777777" w:rsidR="00343657" w:rsidRDefault="00343657"/>
    <w:p w14:paraId="7A7785F5" w14:textId="77777777" w:rsidR="00343657" w:rsidRDefault="00000000">
      <w:pPr>
        <w:pBdr>
          <w:top w:val="single" w:sz="4" w:space="1" w:color="auto"/>
          <w:bottom w:val="single" w:sz="4" w:space="1" w:color="auto"/>
        </w:pBdr>
        <w:spacing w:line="560" w:lineRule="exact"/>
        <w:rPr>
          <w:rFonts w:ascii="仿宋_GB2312" w:eastAsia="仿宋_GB2312" w:hAnsi="仿宋" w:cs="仿宋" w:hint="eastAsia"/>
          <w:sz w:val="28"/>
          <w:szCs w:val="28"/>
        </w:rPr>
      </w:pPr>
      <w:r>
        <w:rPr>
          <w:rFonts w:ascii="仿宋_GB2312" w:eastAsia="仿宋_GB2312" w:hAnsi="黑体" w:cs="黑体" w:hint="eastAsia"/>
          <w:sz w:val="28"/>
          <w:szCs w:val="28"/>
        </w:rPr>
        <w:t>抄送：</w:t>
      </w:r>
      <w:r>
        <w:rPr>
          <w:rFonts w:ascii="仿宋_GB2312" w:eastAsia="仿宋_GB2312" w:hAnsi="黑体" w:cs="黑体"/>
          <w:sz w:val="28"/>
          <w:szCs w:val="28"/>
        </w:rPr>
        <w:t>常德高新技术产业开发区管理委员会、</w:t>
      </w:r>
      <w:r>
        <w:rPr>
          <w:rFonts w:ascii="仿宋_GB2312" w:eastAsia="仿宋_GB2312" w:hAnsi="仿宋" w:cs="仿宋" w:hint="eastAsia"/>
          <w:sz w:val="28"/>
          <w:szCs w:val="28"/>
        </w:rPr>
        <w:t>常德市</w:t>
      </w:r>
      <w:proofErr w:type="gramStart"/>
      <w:r>
        <w:rPr>
          <w:rFonts w:ascii="仿宋_GB2312" w:eastAsia="仿宋_GB2312" w:hAnsi="仿宋" w:cs="仿宋" w:hint="eastAsia"/>
          <w:sz w:val="28"/>
          <w:szCs w:val="28"/>
        </w:rPr>
        <w:t>生态环境局</w:t>
      </w:r>
      <w:r>
        <w:rPr>
          <w:rFonts w:ascii="仿宋_GB2312" w:eastAsia="仿宋_GB2312" w:hAnsi="仿宋" w:cs="仿宋"/>
          <w:sz w:val="28"/>
          <w:szCs w:val="28"/>
        </w:rPr>
        <w:t>鼎城</w:t>
      </w:r>
      <w:proofErr w:type="gramEnd"/>
      <w:r>
        <w:rPr>
          <w:rFonts w:ascii="仿宋_GB2312" w:eastAsia="仿宋_GB2312" w:hAnsi="仿宋" w:cs="仿宋" w:hint="eastAsia"/>
          <w:sz w:val="28"/>
          <w:szCs w:val="28"/>
        </w:rPr>
        <w:t>分局、</w:t>
      </w:r>
      <w:r>
        <w:rPr>
          <w:rFonts w:ascii="仿宋_GB2312" w:eastAsia="仿宋_GB2312" w:hAnsi="仿宋_GB2312" w:cs="仿宋_GB2312" w:hint="eastAsia"/>
          <w:kern w:val="0"/>
          <w:sz w:val="28"/>
          <w:szCs w:val="28"/>
        </w:rPr>
        <w:t>常德市生态环境事务中心、</w:t>
      </w:r>
      <w:r>
        <w:rPr>
          <w:rFonts w:ascii="仿宋_GB2312" w:eastAsia="仿宋_GB2312" w:hAnsi="仿宋" w:cs="仿宋" w:hint="eastAsia"/>
          <w:sz w:val="28"/>
          <w:szCs w:val="28"/>
        </w:rPr>
        <w:t>湖南</w:t>
      </w:r>
      <w:r>
        <w:rPr>
          <w:rFonts w:ascii="仿宋_GB2312" w:eastAsia="仿宋_GB2312" w:hAnsi="仿宋" w:cs="仿宋"/>
          <w:sz w:val="28"/>
          <w:szCs w:val="28"/>
        </w:rPr>
        <w:t>净绿环保科技</w:t>
      </w:r>
      <w:r>
        <w:rPr>
          <w:rFonts w:ascii="仿宋_GB2312" w:eastAsia="仿宋_GB2312" w:hAnsi="仿宋" w:cs="仿宋" w:hint="eastAsia"/>
          <w:sz w:val="28"/>
          <w:szCs w:val="28"/>
        </w:rPr>
        <w:t>有限公司</w:t>
      </w:r>
    </w:p>
    <w:sectPr w:rsidR="00343657">
      <w:footerReference w:type="even" r:id="rId8"/>
      <w:footerReference w:type="default" r:id="rId9"/>
      <w:pgSz w:w="11906" w:h="16838"/>
      <w:pgMar w:top="1440" w:right="1803" w:bottom="1440" w:left="1803" w:header="851" w:footer="992" w:gutter="0"/>
      <w:pgNumType w:fmt="numberInDash"/>
      <w:cols w:space="720"/>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3113BF" w14:textId="77777777" w:rsidR="005F04F0" w:rsidRDefault="005F04F0">
      <w:r>
        <w:separator/>
      </w:r>
    </w:p>
  </w:endnote>
  <w:endnote w:type="continuationSeparator" w:id="0">
    <w:p w14:paraId="00B1D087" w14:textId="77777777" w:rsidR="005F04F0" w:rsidRDefault="005F0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Lucida Sans">
    <w:altName w:val="DejaVu Sans"/>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variable"/>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999C1" w14:textId="77777777" w:rsidR="00343657" w:rsidRDefault="00000000">
    <w:pPr>
      <w:pStyle w:val="a4"/>
      <w:framePr w:wrap="around" w:vAnchor="text" w:hAnchor="margin" w:xAlign="outside" w:y="1"/>
      <w:rPr>
        <w:rStyle w:val="a5"/>
      </w:rPr>
    </w:pPr>
    <w:r>
      <w:rPr>
        <w:rStyle w:val="a5"/>
      </w:rPr>
      <w:fldChar w:fldCharType="begin"/>
    </w:r>
    <w:r>
      <w:rPr>
        <w:rStyle w:val="a5"/>
      </w:rPr>
      <w:instrText xml:space="preserve">PAGE  </w:instrText>
    </w:r>
    <w:r>
      <w:rPr>
        <w:rStyle w:val="a5"/>
      </w:rPr>
      <w:fldChar w:fldCharType="separate"/>
    </w:r>
    <w:r>
      <w:rPr>
        <w:rStyle w:val="a5"/>
      </w:rPr>
      <w:t xml:space="preserve"> </w:t>
    </w:r>
    <w:r>
      <w:rPr>
        <w:rStyle w:val="a5"/>
      </w:rPr>
      <w:fldChar w:fldCharType="end"/>
    </w:r>
  </w:p>
  <w:p w14:paraId="33BC3723" w14:textId="77777777" w:rsidR="00343657" w:rsidRDefault="00343657">
    <w:pPr>
      <w:pStyle w:val="a4"/>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062B7" w14:textId="77777777" w:rsidR="00343657" w:rsidRDefault="00000000">
    <w:pPr>
      <w:pStyle w:val="a4"/>
      <w:framePr w:wrap="around" w:vAnchor="text" w:hAnchor="margin" w:xAlign="outside" w:y="1"/>
      <w:rPr>
        <w:rStyle w:val="a5"/>
      </w:rPr>
    </w:pPr>
    <w:r>
      <w:rPr>
        <w:rStyle w:val="a5"/>
      </w:rPr>
      <w:fldChar w:fldCharType="begin"/>
    </w:r>
    <w:r>
      <w:rPr>
        <w:rStyle w:val="a5"/>
      </w:rPr>
      <w:instrText xml:space="preserve">PAGE  </w:instrText>
    </w:r>
    <w:r>
      <w:rPr>
        <w:rStyle w:val="a5"/>
      </w:rPr>
      <w:fldChar w:fldCharType="separate"/>
    </w:r>
    <w:r>
      <w:rPr>
        <w:rStyle w:val="a5"/>
      </w:rPr>
      <w:t>- 2 -</w:t>
    </w:r>
    <w:r>
      <w:rPr>
        <w:rStyle w:val="a5"/>
      </w:rPr>
      <w:fldChar w:fldCharType="end"/>
    </w:r>
  </w:p>
  <w:p w14:paraId="3E87E172" w14:textId="77777777" w:rsidR="00343657" w:rsidRDefault="00343657">
    <w:pPr>
      <w:pStyle w:val="a4"/>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E8EB00" w14:textId="77777777" w:rsidR="005F04F0" w:rsidRDefault="005F04F0">
      <w:r>
        <w:separator/>
      </w:r>
    </w:p>
  </w:footnote>
  <w:footnote w:type="continuationSeparator" w:id="0">
    <w:p w14:paraId="2D545C7E" w14:textId="77777777" w:rsidR="005F04F0" w:rsidRDefault="005F04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4EA6AD"/>
    <w:multiLevelType w:val="singleLevel"/>
    <w:tmpl w:val="234EA6AD"/>
    <w:lvl w:ilvl="0">
      <w:start w:val="1"/>
      <w:numFmt w:val="chineseCounting"/>
      <w:lvlRestart w:val="0"/>
      <w:suff w:val="nothing"/>
      <w:lvlText w:val="%1、"/>
      <w:lvlJc w:val="left"/>
      <w:rPr>
        <w:rFonts w:hint="eastAsia"/>
      </w:rPr>
    </w:lvl>
  </w:abstractNum>
  <w:num w:numId="1" w16cid:durableId="587460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bordersDoNotSurroundHeader/>
  <w:bordersDoNotSurroundFooter/>
  <w:proofState w:spelling="clean" w:grammar="clean"/>
  <w:defaultTabStop w:val="420"/>
  <w:drawingGridHorizontalSpacing w:val="105"/>
  <w:drawingGridVerticalSpacing w:val="156"/>
  <w:displayHorizontalDrawingGridEvery w:val="0"/>
  <w:displayVerticalDrawingGridEvery w:val="2"/>
  <w:noPunctuationKerning/>
  <w:characterSpacingControl w:val="doNotCompress"/>
  <w:noLineBreaksAfter w:lang="zh-CN" w:val="$([{£¥·‘“〈《「『【〔〖〝﹙﹛﹝＄（．［｛￡￥"/>
  <w:noLineBreaksBefore w:lang="zh-CN" w:val="!%),.:;&gt;?]}¢¨°·ˇˉ―‖’”…‰′″›℃∶、。〃〉》」』】〕〗〞︶︺︾﹀﹄﹚﹜﹞！＂％＇），．：；？］｀｜｝～￠"/>
  <w:hdrShapeDefaults>
    <o:shapedefaults v:ext="edit" spidmax="2050"/>
  </w:hdrShapeDefaults>
  <w:footnotePr>
    <w:footnote w:id="-1"/>
    <w:footnote w:id="0"/>
  </w:footnotePr>
  <w:endnotePr>
    <w:endnote w:id="-1"/>
    <w:endnote w:id="0"/>
  </w:endnotePr>
  <w:compat>
    <w:spaceForUL/>
    <w:balanceSingleByteDoubleByteWidth/>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3657"/>
    <w:rsid w:val="00146E53"/>
    <w:rsid w:val="00343657"/>
    <w:rsid w:val="005F04F0"/>
    <w:rsid w:val="00D327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2BD292"/>
  <w15:docId w15:val="{E1E2F7DA-6242-4331-B1AB-2DA0E3322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Lucida Sans"/>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hAnsi="Calibri" w:cs="Times New Roman"/>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pPr>
      <w:keepNext/>
      <w:keepLines/>
      <w:spacing w:before="260" w:after="260" w:line="415" w:lineRule="auto"/>
      <w:outlineLvl w:val="1"/>
    </w:pPr>
    <w:rPr>
      <w:rFonts w:ascii="Times New Roman" w:eastAsia="黑体" w:hAnsi="Times New Roman"/>
      <w:b/>
      <w:bCs/>
      <w:sz w:val="32"/>
      <w:szCs w:val="32"/>
    </w:rPr>
  </w:style>
  <w:style w:type="paragraph" w:styleId="3">
    <w:name w:val="heading 3"/>
    <w:basedOn w:val="a"/>
    <w:next w:val="a"/>
    <w:link w:val="30"/>
    <w:uiPriority w:val="9"/>
    <w:unhideWhenUsed/>
    <w:qFormat/>
    <w:pPr>
      <w:keepNext/>
      <w:keepLines/>
      <w:outlineLvl w:val="2"/>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rPr>
      <w:rFonts w:ascii="Calibri" w:eastAsia="宋体" w:hAnsi="Calibri" w:cs="Times New Roman"/>
      <w:b/>
      <w:bCs/>
      <w:kern w:val="44"/>
      <w:sz w:val="44"/>
      <w:szCs w:val="44"/>
      <w:lang w:val="en-US" w:eastAsia="zh-CN" w:bidi="ar-SA"/>
    </w:rPr>
  </w:style>
  <w:style w:type="character" w:customStyle="1" w:styleId="20">
    <w:name w:val="标题 2 字符"/>
    <w:basedOn w:val="a0"/>
    <w:link w:val="2"/>
    <w:rPr>
      <w:rFonts w:ascii="Times New Roman" w:eastAsia="黑体" w:hAnsi="Times New Roman" w:cs="Times New Roman"/>
      <w:b/>
      <w:bCs/>
      <w:kern w:val="2"/>
      <w:sz w:val="32"/>
      <w:szCs w:val="32"/>
      <w:lang w:val="en-US" w:eastAsia="zh-CN" w:bidi="ar-SA"/>
    </w:rPr>
  </w:style>
  <w:style w:type="character" w:customStyle="1" w:styleId="30">
    <w:name w:val="标题 3 字符"/>
    <w:basedOn w:val="a0"/>
    <w:link w:val="3"/>
    <w:rPr>
      <w:rFonts w:ascii="Calibri" w:eastAsia="宋体" w:hAnsi="Calibri" w:cs="Times New Roman"/>
      <w:b/>
      <w:kern w:val="2"/>
      <w:sz w:val="21"/>
      <w:szCs w:val="22"/>
      <w:lang w:val="en-US" w:eastAsia="zh-CN" w:bidi="ar-SA"/>
    </w:rPr>
  </w:style>
  <w:style w:type="paragraph" w:styleId="a3">
    <w:name w:val="Body Text"/>
    <w:basedOn w:val="a"/>
    <w:qFormat/>
    <w:pPr>
      <w:spacing w:after="120"/>
    </w:pPr>
  </w:style>
  <w:style w:type="paragraph" w:styleId="a4">
    <w:name w:val="footer"/>
    <w:basedOn w:val="a"/>
    <w:qFormat/>
    <w:pPr>
      <w:tabs>
        <w:tab w:val="center" w:pos="4153"/>
        <w:tab w:val="right" w:pos="8306"/>
      </w:tabs>
      <w:snapToGrid w:val="0"/>
      <w:jc w:val="left"/>
    </w:pPr>
    <w:rPr>
      <w:sz w:val="18"/>
      <w:szCs w:val="18"/>
    </w:rPr>
  </w:style>
  <w:style w:type="character" w:styleId="a5">
    <w:name w:val="page number"/>
    <w:basedOn w:val="a0"/>
    <w:qFormat/>
  </w:style>
  <w:style w:type="paragraph" w:styleId="a6">
    <w:name w:val="header"/>
    <w:basedOn w:val="a"/>
    <w:link w:val="a7"/>
    <w:uiPriority w:val="99"/>
    <w:unhideWhenUsed/>
    <w:rsid w:val="00146E53"/>
    <w:pPr>
      <w:tabs>
        <w:tab w:val="center" w:pos="4153"/>
        <w:tab w:val="right" w:pos="8306"/>
      </w:tabs>
      <w:snapToGrid w:val="0"/>
      <w:jc w:val="center"/>
    </w:pPr>
    <w:rPr>
      <w:sz w:val="18"/>
      <w:szCs w:val="18"/>
    </w:rPr>
  </w:style>
  <w:style w:type="character" w:customStyle="1" w:styleId="a7">
    <w:name w:val="页眉 字符"/>
    <w:basedOn w:val="a0"/>
    <w:link w:val="a6"/>
    <w:uiPriority w:val="99"/>
    <w:rsid w:val="00146E53"/>
    <w:rPr>
      <w:rFonts w:ascii="Calibri" w:hAnsi="Calibri"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主题">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主题">
      <a:majorFont>
        <a:latin typeface=""/>
        <a:ea typeface=""/>
        <a:cs typeface=""/>
      </a:majorFont>
      <a:minorFont>
        <a:latin typeface=""/>
        <a:ea typeface=""/>
        <a:cs typeface=""/>
      </a:minorFont>
    </a:fontScheme>
    <a:fmtScheme name="Office 主题">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1"/>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1"/>
        </a:gradFill>
      </a:fillStyleLst>
      <a:lnStyleLst>
        <a:ln w="6350" cap="flat" cmpd="sng">
          <a:solidFill>
            <a:schemeClr val="phClr"/>
          </a:solidFill>
          <a:prstDash val="solid"/>
          <a:miter/>
        </a:ln>
        <a:ln w="12700" cap="flat" cmpd="sng">
          <a:solidFill>
            <a:schemeClr val="phClr"/>
          </a:solidFill>
          <a:prstDash val="solid"/>
          <a:miter/>
        </a:ln>
        <a:ln w="19050" cap="flat" cmpd="sng">
          <a:solidFill>
            <a:schemeClr val="phClr"/>
          </a:solidFill>
          <a:prstDash val="solid"/>
          <a:miter/>
        </a:ln>
      </a:lnStyleLst>
      <a:effectStyleLst>
        <a:effectStyle>
          <a:effectLst/>
        </a:effectStyle>
        <a:effectStyle>
          <a:effectLst/>
        </a:effectStyle>
        <a:effectStyle>
          <a:effectLst>
            <a:outerShdw blurRad="57150" dist="19050" dir="5400000" algn="ctr" rotWithShape="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26650 1 1 1 1 1"/>
    <sectPr/>
  </customProps>
</customData>
</file>

<file path=customXml/itemProps1.xml><?xml version="1.0" encoding="utf-8"?>
<ds:datastoreItem xmlns:ds="http://schemas.openxmlformats.org/officeDocument/2006/customXml" ds:itemID="{D2F31596-58F3-4391-A83A-807C1FF64480}">
  <ds:schemaRefs>
    <ds:schemaRef ds:uri="http://www.yozosoft.com.cn/officeDocument/2016/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1717</Words>
  <Characters>1890</Characters>
  <Application>Microsoft Office Word</Application>
  <DocSecurity>0</DocSecurity>
  <Lines>105</Lines>
  <Paragraphs>23</Paragraphs>
  <ScaleCrop>false</ScaleCrop>
  <Company>Yozosoft</Company>
  <LinksUpToDate>false</LinksUpToDate>
  <CharactersWithSpaces>3584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User274</dc:creator>
  <cp:lastModifiedBy>Guardian Tales</cp:lastModifiedBy>
  <cp:revision>2</cp:revision>
  <dcterms:created xsi:type="dcterms:W3CDTF">2026-09-09T12:40:00Z</dcterms:created>
  <dcterms:modified xsi:type="dcterms:W3CDTF">2026-09-09T12:40:00Z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2052-12.8.2.20793</vt:lpwstr>
  </property>
  <property fmtid="{D5CDD505-2E9C-101B-9397-08002B2CF9AE}" pid="3" name="ICV">
    <vt:lpwstr>55D9674F19E149D1A8E2CD5A636D8BBC_12</vt:lpwstr>
  </property>
</Properties>
</file>