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9DE23">
      <w:pPr>
        <w:adjustRightInd w:val="0"/>
        <w:snapToGrid w:val="0"/>
        <w:spacing w:before="1160" w:line="560" w:lineRule="exact"/>
        <w:jc w:val="right"/>
        <w:rPr>
          <w:rFonts w:ascii="仿宋_GB2312" w:eastAsia="仿宋_GB2312"/>
          <w:b/>
          <w:bCs/>
          <w:spacing w:val="-20"/>
          <w:sz w:val="44"/>
        </w:rPr>
      </w:pPr>
      <w:r>
        <w:rPr>
          <w:rFonts w:hint="eastAsia" w:ascii="仿宋_GB2312" w:eastAsia="仿宋_GB2312"/>
          <w:sz w:val="32"/>
        </w:rPr>
        <w:t>常环建</w:t>
      </w:r>
      <w:bookmarkStart w:id="0" w:name="_Hlk185258292"/>
      <w:r>
        <w:rPr>
          <w:rFonts w:hint="eastAsia" w:ascii="仿宋_GB2312" w:eastAsia="仿宋_GB2312"/>
          <w:sz w:val="32"/>
        </w:rPr>
        <w:t>〔</w:t>
      </w:r>
      <w:r>
        <w:rPr>
          <w:rFonts w:ascii="仿宋_GB2312" w:eastAsia="仿宋_GB2312"/>
          <w:sz w:val="32"/>
        </w:rPr>
        <w:t>202</w:t>
      </w:r>
      <w:r>
        <w:rPr>
          <w:rFonts w:hint="eastAsia" w:ascii="仿宋_GB2312" w:eastAsia="仿宋_GB2312"/>
          <w:sz w:val="32"/>
        </w:rPr>
        <w:t>6〕</w:t>
      </w:r>
      <w:bookmarkEnd w:id="0"/>
      <w:r>
        <w:rPr>
          <w:rFonts w:hint="eastAsia" w:ascii="仿宋_GB2312" w:eastAsia="仿宋_GB2312"/>
          <w:sz w:val="32"/>
          <w:lang w:val="en-US" w:eastAsia="zh-CN"/>
        </w:rPr>
        <w:t>42</w:t>
      </w:r>
      <w:r>
        <w:rPr>
          <w:rFonts w:hint="eastAsia" w:ascii="仿宋_GB2312" w:eastAsia="仿宋_GB2312"/>
          <w:sz w:val="32"/>
        </w:rPr>
        <w:t>号</w:t>
      </w:r>
    </w:p>
    <w:p w14:paraId="7ADA8795">
      <w:pPr>
        <w:spacing w:line="560" w:lineRule="exact"/>
        <w:jc w:val="center"/>
        <w:rPr>
          <w:rFonts w:ascii="方正小标宋简体" w:eastAsia="方正小标宋简体"/>
          <w:sz w:val="44"/>
          <w:szCs w:val="44"/>
        </w:rPr>
      </w:pPr>
    </w:p>
    <w:p w14:paraId="319B86F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常德市生态环境局</w:t>
      </w:r>
    </w:p>
    <w:p w14:paraId="2F86DD8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rPr>
        <w:t>关于</w:t>
      </w:r>
      <w:bookmarkStart w:id="1" w:name="_Hlk220318857"/>
      <w:r>
        <w:rPr>
          <w:rFonts w:hint="eastAsia" w:ascii="方正小标宋简体" w:eastAsia="方正小标宋简体"/>
          <w:sz w:val="44"/>
          <w:szCs w:val="44"/>
          <w:lang w:eastAsia="zh-CN"/>
        </w:rPr>
        <w:t>常德天利置业有限公司</w:t>
      </w:r>
      <w:r>
        <w:rPr>
          <w:rFonts w:hint="eastAsia" w:ascii="方正小标宋简体" w:eastAsia="方正小标宋简体"/>
          <w:sz w:val="44"/>
          <w:szCs w:val="44"/>
          <w:lang w:val="en-US" w:eastAsia="zh-CN"/>
        </w:rPr>
        <w:t>湖南桃花源国际</w:t>
      </w:r>
    </w:p>
    <w:p w14:paraId="59EA2E5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val="en-US" w:eastAsia="zh-CN"/>
        </w:rPr>
        <w:t>高尔夫俱乐部建设项目</w:t>
      </w:r>
      <w:r>
        <w:rPr>
          <w:rFonts w:hint="eastAsia" w:ascii="方正小标宋简体" w:eastAsia="方正小标宋简体"/>
          <w:sz w:val="44"/>
          <w:szCs w:val="44"/>
        </w:rPr>
        <w:t>环境影响报告书</w:t>
      </w:r>
      <w:bookmarkEnd w:id="1"/>
    </w:p>
    <w:p w14:paraId="44E8209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的批复</w:t>
      </w:r>
    </w:p>
    <w:p w14:paraId="42A225C0">
      <w:pPr>
        <w:adjustRightInd w:val="0"/>
        <w:snapToGrid w:val="0"/>
        <w:spacing w:line="560" w:lineRule="exact"/>
        <w:ind w:firstLine="560" w:firstLineChars="200"/>
        <w:rPr>
          <w:sz w:val="28"/>
          <w:szCs w:val="28"/>
        </w:rPr>
      </w:pPr>
    </w:p>
    <w:p w14:paraId="25ABE2DD">
      <w:pPr>
        <w:adjustRightInd w:val="0"/>
        <w:snapToGrid w:val="0"/>
        <w:spacing w:line="560" w:lineRule="exact"/>
        <w:rPr>
          <w:rFonts w:hint="eastAsia" w:ascii="仿宋_GB2312" w:hAnsi="仿宋" w:eastAsia="仿宋_GB2312" w:cs="仿宋"/>
          <w:sz w:val="32"/>
          <w:szCs w:val="32"/>
        </w:rPr>
      </w:pPr>
      <w:r>
        <w:rPr>
          <w:rFonts w:hint="eastAsia" w:ascii="仿宋_GB2312" w:hAnsi="仿宋" w:eastAsia="仿宋_GB2312" w:cs="仿宋"/>
          <w:sz w:val="32"/>
          <w:szCs w:val="32"/>
        </w:rPr>
        <w:t>常德天利置业有限公司：</w:t>
      </w:r>
    </w:p>
    <w:p w14:paraId="5AB4FDE1">
      <w:pPr>
        <w:adjustRightInd w:val="0"/>
        <w:snapToGrid w:val="0"/>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你单位《</w:t>
      </w:r>
      <w:r>
        <w:rPr>
          <w:rFonts w:hint="eastAsia" w:ascii="仿宋_GB2312" w:hAnsi="仿宋" w:eastAsia="仿宋_GB2312" w:cs="仿宋"/>
          <w:sz w:val="32"/>
          <w:szCs w:val="32"/>
          <w:lang w:val="en-US" w:eastAsia="zh-CN"/>
        </w:rPr>
        <w:t>湖南桃花源国际高尔夫俱乐部建设项目</w:t>
      </w:r>
      <w:r>
        <w:rPr>
          <w:rFonts w:hint="eastAsia" w:ascii="仿宋_GB2312" w:hAnsi="仿宋" w:eastAsia="仿宋_GB2312" w:cs="仿宋"/>
          <w:sz w:val="32"/>
          <w:szCs w:val="32"/>
        </w:rPr>
        <w:t>环境影响报告书》(以下简称《报告书》)及其环境影响评价公众参与说明等申请材料收悉。</w:t>
      </w:r>
      <w:r>
        <w:rPr>
          <w:rFonts w:hint="eastAsia" w:ascii="仿宋_GB2312" w:hAnsi="仿宋" w:eastAsia="仿宋_GB2312" w:cs="仿宋"/>
          <w:sz w:val="32"/>
          <w:szCs w:val="32"/>
          <w:lang w:val="en-US" w:eastAsia="zh-CN"/>
        </w:rPr>
        <w:t>根据常德市生态环境事务中心</w:t>
      </w:r>
      <w:r>
        <w:rPr>
          <w:rFonts w:hint="eastAsia" w:ascii="仿宋_GB2312" w:hAnsi="仿宋" w:eastAsia="仿宋_GB2312" w:cs="仿宋"/>
          <w:color w:val="auto"/>
          <w:sz w:val="32"/>
          <w:szCs w:val="32"/>
          <w:lang w:val="en-US" w:eastAsia="zh-CN"/>
        </w:rPr>
        <w:t>“常环评估〔2026〕13号”技术</w:t>
      </w:r>
      <w:r>
        <w:rPr>
          <w:rFonts w:hint="eastAsia" w:ascii="仿宋_GB2312" w:hAnsi="仿宋" w:eastAsia="仿宋_GB2312" w:cs="仿宋"/>
          <w:sz w:val="32"/>
          <w:szCs w:val="32"/>
          <w:lang w:val="en-US" w:eastAsia="zh-CN"/>
        </w:rPr>
        <w:t>评估报告</w:t>
      </w:r>
      <w:r>
        <w:rPr>
          <w:rFonts w:hint="eastAsia" w:ascii="仿宋_GB2312" w:hAnsi="仿宋" w:eastAsia="仿宋_GB2312" w:cs="仿宋"/>
          <w:sz w:val="32"/>
          <w:szCs w:val="32"/>
        </w:rPr>
        <w:t>、常德市生态环境局</w:t>
      </w:r>
      <w:r>
        <w:rPr>
          <w:rFonts w:hint="eastAsia" w:ascii="仿宋_GB2312" w:hAnsi="仿宋" w:eastAsia="仿宋_GB2312" w:cs="仿宋"/>
          <w:sz w:val="32"/>
          <w:szCs w:val="32"/>
          <w:lang w:val="en-US" w:eastAsia="zh-CN"/>
        </w:rPr>
        <w:t>柳叶湖</w:t>
      </w:r>
      <w:r>
        <w:rPr>
          <w:rFonts w:hint="eastAsia" w:ascii="仿宋_GB2312" w:hAnsi="仿宋" w:eastAsia="仿宋_GB2312" w:cs="仿宋"/>
          <w:sz w:val="32"/>
          <w:szCs w:val="32"/>
        </w:rPr>
        <w:t>分局对《报告书》出具的预审意见</w:t>
      </w:r>
      <w:r>
        <w:rPr>
          <w:rFonts w:hint="eastAsia" w:ascii="仿宋_GB2312" w:eastAsia="仿宋_GB2312"/>
          <w:bCs/>
          <w:sz w:val="32"/>
          <w:szCs w:val="32"/>
        </w:rPr>
        <w:t>和《报告书》受理后在网上公示期间未收到反馈意见的情况</w:t>
      </w:r>
      <w:r>
        <w:rPr>
          <w:rFonts w:hint="eastAsia" w:ascii="仿宋_GB2312" w:hAnsi="仿宋" w:eastAsia="仿宋_GB2312" w:cs="仿宋"/>
          <w:sz w:val="32"/>
          <w:szCs w:val="32"/>
        </w:rPr>
        <w:t>，经研究，批复如下：</w:t>
      </w:r>
    </w:p>
    <w:p w14:paraId="7EBF5263">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 w:eastAsia="仿宋_GB2312" w:cs="仿宋"/>
          <w:b/>
          <w:bCs/>
          <w:sz w:val="32"/>
          <w:szCs w:val="32"/>
          <w:lang w:val="en-US" w:eastAsia="zh-CN"/>
        </w:rPr>
      </w:pPr>
      <w:r>
        <w:rPr>
          <w:rFonts w:hint="eastAsia" w:ascii="仿宋_GB2312" w:hAnsi="仿宋" w:eastAsia="仿宋_GB2312" w:cs="仿宋"/>
          <w:b/>
          <w:bCs/>
          <w:sz w:val="32"/>
          <w:szCs w:val="32"/>
          <w:lang w:val="en-US" w:eastAsia="zh-CN"/>
        </w:rPr>
        <w:t>基本情况及总体意见</w:t>
      </w:r>
    </w:p>
    <w:p w14:paraId="43FC1CE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项目位于</w:t>
      </w:r>
      <w:r>
        <w:rPr>
          <w:rFonts w:hint="eastAsia" w:ascii="仿宋_GB2312" w:hAnsi="仿宋" w:eastAsia="仿宋_GB2312" w:cs="仿宋"/>
          <w:sz w:val="32"/>
          <w:szCs w:val="32"/>
          <w:lang w:val="en-US" w:eastAsia="zh-CN"/>
        </w:rPr>
        <w:t>常德市柳叶湖旅游度假区白鹤镇罗湾社区朗州路3333号（</w:t>
      </w:r>
      <w:r>
        <w:rPr>
          <w:rFonts w:hint="eastAsia" w:ascii="仿宋_GB2312" w:hAnsi="仿宋" w:eastAsia="仿宋_GB2312" w:cs="仿宋"/>
          <w:sz w:val="32"/>
          <w:szCs w:val="32"/>
          <w:lang w:eastAsia="zh-CN"/>
        </w:rPr>
        <w:t>中心地理坐标为E：111°41′33.958″，N：29°7′5.937″</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eastAsia="zh-CN"/>
        </w:rPr>
        <w:t>占地面积</w:t>
      </w:r>
      <w:r>
        <w:rPr>
          <w:rFonts w:hint="eastAsia" w:ascii="仿宋_GB2312" w:hAnsi="仿宋" w:eastAsia="仿宋_GB2312" w:cs="仿宋"/>
          <w:sz w:val="32"/>
          <w:szCs w:val="32"/>
          <w:lang w:val="en-US" w:eastAsia="zh-CN"/>
        </w:rPr>
        <w:t>994.91</w:t>
      </w:r>
      <w:r>
        <w:rPr>
          <w:rFonts w:hint="eastAsia" w:ascii="仿宋_GB2312" w:hAnsi="仿宋" w:eastAsia="仿宋_GB2312" w:cs="仿宋"/>
          <w:sz w:val="32"/>
          <w:szCs w:val="32"/>
          <w:lang w:eastAsia="zh-CN"/>
        </w:rPr>
        <w:t>亩，涵盖18洞高尔夫球场（包含果岭、边坡及发球台、球道、沙坑、人工湖、长草区等）、真草练习场、球场车道、球车库、球场服务中心以及其他配套公辅设施等。该项目于2008年</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lang w:eastAsia="zh-CN"/>
        </w:rPr>
        <w:t>月启动筹备建设工作，并于20</w:t>
      </w:r>
      <w:r>
        <w:rPr>
          <w:rFonts w:hint="eastAsia" w:ascii="仿宋_GB2312" w:hAnsi="仿宋" w:eastAsia="仿宋_GB2312" w:cs="仿宋"/>
          <w:sz w:val="32"/>
          <w:szCs w:val="32"/>
          <w:lang w:val="en-US" w:eastAsia="zh-CN"/>
        </w:rPr>
        <w:t>10</w:t>
      </w:r>
      <w:r>
        <w:rPr>
          <w:rFonts w:hint="eastAsia" w:ascii="仿宋_GB2312" w:hAnsi="仿宋" w:eastAsia="仿宋_GB2312" w:cs="仿宋"/>
          <w:sz w:val="32"/>
          <w:szCs w:val="32"/>
          <w:lang w:eastAsia="zh-CN"/>
        </w:rPr>
        <w:t>年</w:t>
      </w:r>
      <w:r>
        <w:rPr>
          <w:rFonts w:hint="eastAsia" w:ascii="仿宋_GB2312" w:hAnsi="仿宋" w:eastAsia="仿宋_GB2312" w:cs="仿宋"/>
          <w:sz w:val="32"/>
          <w:szCs w:val="32"/>
          <w:lang w:val="en-US" w:eastAsia="zh-CN"/>
        </w:rPr>
        <w:t>11</w:t>
      </w:r>
      <w:r>
        <w:rPr>
          <w:rFonts w:hint="eastAsia" w:ascii="仿宋_GB2312" w:hAnsi="仿宋" w:eastAsia="仿宋_GB2312" w:cs="仿宋"/>
          <w:sz w:val="32"/>
          <w:szCs w:val="32"/>
          <w:lang w:eastAsia="zh-CN"/>
        </w:rPr>
        <w:t>月完成建设，同期</w:t>
      </w:r>
      <w:r>
        <w:rPr>
          <w:rFonts w:hint="eastAsia" w:ascii="仿宋_GB2312" w:hAnsi="仿宋" w:eastAsia="仿宋_GB2312" w:cs="仿宋"/>
          <w:sz w:val="32"/>
          <w:szCs w:val="32"/>
          <w:lang w:val="en-US" w:eastAsia="zh-CN"/>
        </w:rPr>
        <w:t>投入</w:t>
      </w:r>
      <w:r>
        <w:rPr>
          <w:rFonts w:hint="eastAsia" w:ascii="仿宋_GB2312" w:hAnsi="仿宋" w:eastAsia="仿宋_GB2312" w:cs="仿宋"/>
          <w:sz w:val="32"/>
          <w:szCs w:val="32"/>
          <w:lang w:eastAsia="zh-CN"/>
        </w:rPr>
        <w:t>运营。</w:t>
      </w:r>
    </w:p>
    <w:p w14:paraId="3D5047B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由于多种原因项目建成至今，尚未办理建设项目环境影响评价审批及建设项目竣工环保验收等手续。根据《关于开展全国高尔夫球场综合清理整治工作的通知》（发改社会〔2011〕741号）、《国家部委联合公布高尔夫球场清理整治结果》（2017年）的相关要求，该高尔夫球场属于整改类球场，整改达标后予以保留。经多部门多次会商研究，同意该项目启动相关手续补办工作。2026年7月30日，常德市自然资源和规划局出具《关于常德桃花源高尔夫球场规划用地情况的说明》</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现已将项目用地中涉及的92亩非商业服务业用地纳入2026年度《常德市国土空间总体规划（2021-2035年）动态维护方案》，调整为商业服务业用地。本项目属于补办环评手续，针对该项目涉嫌存在的违法问题，常德市生态环境局综合行政执法支队已经立案调查，你单位应吸取教训，切实提高生态环境保护法治意识。</w:t>
      </w:r>
    </w:p>
    <w:p w14:paraId="7D107DCA">
      <w:pPr>
        <w:adjustRightInd w:val="0"/>
        <w:snapToGrid w:val="0"/>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依据《报告书》结论、</w:t>
      </w:r>
      <w:r>
        <w:rPr>
          <w:rFonts w:hint="eastAsia" w:ascii="仿宋_GB2312" w:hAnsi="仿宋" w:eastAsia="仿宋_GB2312" w:cs="仿宋"/>
          <w:sz w:val="32"/>
          <w:szCs w:val="32"/>
          <w:lang w:val="en-US" w:eastAsia="zh-CN"/>
        </w:rPr>
        <w:t>常德市生态环境事务中心</w:t>
      </w:r>
      <w:r>
        <w:rPr>
          <w:rFonts w:hint="eastAsia" w:ascii="仿宋_GB2312" w:hAnsi="仿宋" w:eastAsia="仿宋_GB2312" w:cs="仿宋"/>
          <w:color w:val="auto"/>
          <w:sz w:val="32"/>
          <w:szCs w:val="32"/>
          <w:lang w:val="en-US" w:eastAsia="zh-CN"/>
        </w:rPr>
        <w:t>“常环评估〔2026〕13号”</w:t>
      </w:r>
      <w:r>
        <w:rPr>
          <w:rFonts w:hint="eastAsia" w:ascii="仿宋_GB2312" w:hAnsi="仿宋" w:eastAsia="仿宋_GB2312" w:cs="仿宋"/>
          <w:sz w:val="32"/>
          <w:szCs w:val="32"/>
          <w:lang w:val="en-US" w:eastAsia="zh-CN"/>
        </w:rPr>
        <w:t>技术评估报告</w:t>
      </w:r>
      <w:r>
        <w:rPr>
          <w:rFonts w:hint="eastAsia" w:ascii="仿宋_GB2312" w:hAnsi="仿宋" w:eastAsia="仿宋_GB2312" w:cs="仿宋"/>
          <w:sz w:val="32"/>
          <w:szCs w:val="32"/>
        </w:rPr>
        <w:t>及常德市生态环境局</w:t>
      </w:r>
      <w:r>
        <w:rPr>
          <w:rFonts w:hint="eastAsia" w:ascii="仿宋_GB2312" w:hAnsi="仿宋" w:eastAsia="仿宋_GB2312" w:cs="仿宋"/>
          <w:sz w:val="32"/>
          <w:szCs w:val="32"/>
          <w:lang w:val="en-US" w:eastAsia="zh-CN"/>
        </w:rPr>
        <w:t>柳叶湖</w:t>
      </w:r>
      <w:r>
        <w:rPr>
          <w:rFonts w:hint="eastAsia" w:ascii="仿宋_GB2312" w:hAnsi="仿宋" w:eastAsia="仿宋_GB2312" w:cs="仿宋"/>
          <w:sz w:val="32"/>
          <w:szCs w:val="32"/>
        </w:rPr>
        <w:t>分局预审意见，在全面落实各项污染防治措施、环境风险防范措施、确保污染物达标排放的前提下，</w:t>
      </w:r>
      <w:r>
        <w:rPr>
          <w:rStyle w:val="25"/>
          <w:rFonts w:hint="eastAsia" w:ascii="仿宋_GB2312" w:eastAsia="仿宋_GB2312"/>
          <w:sz w:val="32"/>
          <w:szCs w:val="32"/>
        </w:rPr>
        <w:t>从生态环境保护角度分析，项目建设可行</w:t>
      </w:r>
      <w:r>
        <w:rPr>
          <w:rFonts w:hint="eastAsia" w:ascii="仿宋_GB2312" w:hAnsi="仿宋" w:eastAsia="仿宋_GB2312" w:cs="仿宋"/>
          <w:sz w:val="32"/>
          <w:szCs w:val="32"/>
        </w:rPr>
        <w:t>。</w:t>
      </w:r>
    </w:p>
    <w:p w14:paraId="31B2EBD3">
      <w:pPr>
        <w:adjustRightInd w:val="0"/>
        <w:snapToGrid w:val="0"/>
        <w:spacing w:line="560" w:lineRule="exact"/>
        <w:ind w:firstLine="643" w:firstLineChars="200"/>
        <w:rPr>
          <w:rFonts w:hint="eastAsia" w:ascii="仿宋_GB2312" w:hAnsi="仿宋" w:eastAsia="仿宋_GB2312" w:cs="仿宋"/>
          <w:b/>
          <w:bCs/>
          <w:sz w:val="32"/>
          <w:szCs w:val="32"/>
          <w:lang w:eastAsia="zh-CN"/>
        </w:rPr>
      </w:pPr>
      <w:r>
        <w:rPr>
          <w:rFonts w:hint="eastAsia" w:ascii="仿宋_GB2312" w:hAnsi="仿宋" w:eastAsia="仿宋_GB2312" w:cs="仿宋"/>
          <w:b/>
          <w:bCs/>
          <w:sz w:val="32"/>
          <w:szCs w:val="32"/>
          <w:lang w:eastAsia="zh-CN"/>
        </w:rPr>
        <w:t>二</w:t>
      </w:r>
      <w:r>
        <w:rPr>
          <w:rFonts w:hint="eastAsia" w:ascii="仿宋_GB2312" w:hAnsi="仿宋" w:eastAsia="仿宋_GB2312" w:cs="仿宋"/>
          <w:b/>
          <w:bCs/>
          <w:sz w:val="32"/>
          <w:szCs w:val="32"/>
        </w:rPr>
        <w:t>、</w:t>
      </w:r>
      <w:r>
        <w:rPr>
          <w:rFonts w:hint="eastAsia" w:ascii="仿宋_GB2312" w:hAnsi="仿宋" w:eastAsia="仿宋_GB2312" w:cs="仿宋"/>
          <w:b/>
          <w:bCs/>
          <w:sz w:val="32"/>
          <w:szCs w:val="32"/>
          <w:lang w:eastAsia="zh-CN"/>
        </w:rPr>
        <w:t>建设、运营管理过程中的环境管理要求</w:t>
      </w:r>
    </w:p>
    <w:p w14:paraId="6BE3C8EF">
      <w:pPr>
        <w:adjustRightInd w:val="0"/>
        <w:snapToGrid w:val="0"/>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建设单位在工程设计、建设和运营管理过程中，必须全面落实《报告书》提出的各项污染防治措施，并着重做好如下工作：</w:t>
      </w:r>
    </w:p>
    <w:p w14:paraId="7707DA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一）严格落实大气污染防治措施。项目正常营运过程产生的废气主要为餐厅厨房油烟废气、球场维护燃油农机废气和球场内停车场汽车尾气。有组织污染物排放标准：餐饮油烟废气污染物执行《饮食业油烟排放标准》(GB18483-2001)标准限值。无组织污染物排放标准：颗粒物、非甲烷总总烃无组织排放厂界限值执行《大气污染物综合排放标准》(GB16297-1996)中表2无组织排放监控浓度限值。</w:t>
      </w:r>
    </w:p>
    <w:p w14:paraId="40169C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（二）严格落实水污染防治措施。</w:t>
      </w:r>
      <w:r>
        <w:rPr>
          <w:rFonts w:hint="eastAsia" w:ascii="仿宋_GB2312" w:hAnsi="仿宋" w:eastAsia="仿宋_GB2312" w:cs="仿宋"/>
          <w:sz w:val="32"/>
          <w:szCs w:val="32"/>
        </w:rPr>
        <w:t>按照“雨污分流、清污分流”的原则建设完善排水系统，切实做好项目废水的收集和处理。</w:t>
      </w:r>
      <w:r>
        <w:rPr>
          <w:rFonts w:hint="eastAsia" w:ascii="仿宋_GB2312" w:hAnsi="仿宋" w:eastAsia="仿宋_GB2312" w:cs="仿宋"/>
          <w:sz w:val="32"/>
          <w:szCs w:val="32"/>
          <w:lang w:val="en-US" w:eastAsia="zh-CN"/>
        </w:rPr>
        <w:t>项目球车冲洗废水经沉淀池处理达标后，与经隔油池处理达标后的餐饮废水、经化粪池处理达标后的厕所废水，一并排入市政污水管网，经常德市污水净化中心处理达标后排放。项目废水排放执行《污水综合排放标准》(GB8978-1996)表4中三级标准和常德市污水净化中心进水水质要求。</w:t>
      </w:r>
    </w:p>
    <w:p w14:paraId="01049E4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做好球场雨水径流污染防控。正常情况下球场草坪雨水通过球场内的集水井收集后，通过场内排水系统全部汇入场内人工湖，不外排。暴雨汛期确需溢流外排时，应确保溢流水汇入沾天湖（GB3838-2002 Ⅲ类）后，受纳水体水质满足相应水功能区水质目标要求。</w:t>
      </w:r>
    </w:p>
    <w:p w14:paraId="02E15286">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严格落实固体废物处置措</w:t>
      </w:r>
      <w:bookmarkStart w:id="3" w:name="_GoBack"/>
      <w:bookmarkEnd w:id="3"/>
      <w:r>
        <w:rPr>
          <w:rFonts w:hint="eastAsia" w:ascii="仿宋_GB2312" w:hAnsi="仿宋" w:eastAsia="仿宋_GB2312" w:cs="仿宋"/>
          <w:sz w:val="32"/>
          <w:szCs w:val="32"/>
          <w:lang w:val="en-US" w:eastAsia="zh-CN"/>
        </w:rPr>
        <w:t>施。按照“无害化、减量化、资源化”的原则做好固体废物的综合利用和安全处置工作。危废暂存间、农药仓库做好地面防渗处理、油品储存间设置托盘，按照《危险废物贮存污染控制标准》要求建设危废库，危废交给有资质单位回收处理，妥善处理各类固体废物，严格落实《危险废物贮存污染控制标准》（GB18597-2023）及《一般工业固体废物贮存和填埋污染控制标准》（GB18599-2020）要求，防止二次污染。</w:t>
      </w:r>
    </w:p>
    <w:p w14:paraId="5F7369FD">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rPr>
      </w:pPr>
      <w:r>
        <w:rPr>
          <w:rFonts w:hint="eastAsia" w:ascii="楷体_GB2312" w:hAnsi="仿宋" w:eastAsia="仿宋_GB2312" w:cs="仿宋"/>
          <w:sz w:val="32"/>
          <w:szCs w:val="32"/>
          <w:lang w:val="en-US" w:eastAsia="zh-CN"/>
        </w:rPr>
        <w:t>严格</w:t>
      </w:r>
      <w:r>
        <w:rPr>
          <w:rFonts w:hint="eastAsia" w:ascii="楷体_GB2312" w:hAnsi="仿宋" w:eastAsia="仿宋_GB2312" w:cs="仿宋"/>
          <w:sz w:val="32"/>
          <w:szCs w:val="32"/>
        </w:rPr>
        <w:t>落实噪声污染防治措施。优化设备选型和平面布置，落实噪声污染防治措施。选用低噪声设备，采取有效的隔声降噪措施，并加强设备的维护保养。</w:t>
      </w:r>
      <w:r>
        <w:rPr>
          <w:rFonts w:hint="eastAsia" w:ascii="仿宋_GB2312" w:hAnsi="仿宋" w:eastAsia="仿宋_GB2312" w:cs="仿宋"/>
          <w:sz w:val="32"/>
          <w:szCs w:val="32"/>
          <w:lang w:val="en-US" w:eastAsia="zh-CN"/>
        </w:rPr>
        <w:t>项目厂界噪声执行《工业企业厂界环境噪声排放标准》(GB12348-2008)中2类标准。</w:t>
      </w:r>
    </w:p>
    <w:p w14:paraId="74A145E9">
      <w:pPr>
        <w:adjustRightInd w:val="0"/>
        <w:snapToGrid w:val="0"/>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（五）</w:t>
      </w:r>
      <w:r>
        <w:rPr>
          <w:rFonts w:hint="eastAsia" w:ascii="仿宋_GB2312" w:hAnsi="仿宋" w:eastAsia="仿宋_GB2312" w:cs="仿宋"/>
          <w:sz w:val="32"/>
          <w:szCs w:val="32"/>
          <w:lang w:val="en-US" w:eastAsia="zh-CN"/>
        </w:rPr>
        <w:t>严格</w:t>
      </w:r>
      <w:r>
        <w:rPr>
          <w:rFonts w:hint="eastAsia" w:ascii="仿宋_GB2312" w:hAnsi="仿宋" w:eastAsia="仿宋_GB2312" w:cs="仿宋"/>
          <w:sz w:val="32"/>
          <w:szCs w:val="32"/>
          <w:lang w:eastAsia="zh-CN"/>
        </w:rPr>
        <w:t>落实地下水和土壤污染防治措施。</w:t>
      </w:r>
      <w:r>
        <w:rPr>
          <w:rFonts w:hint="eastAsia" w:ascii="仿宋_GB2312" w:hAnsi="仿宋" w:eastAsia="仿宋_GB2312" w:cs="仿宋"/>
          <w:sz w:val="32"/>
          <w:szCs w:val="32"/>
        </w:rPr>
        <w:t>按照“源头控制、分区防治、污染监控、应急响应”的原则</w:t>
      </w:r>
      <w:r>
        <w:rPr>
          <w:rFonts w:hint="eastAsia" w:ascii="仿宋_GB2312" w:hAnsi="仿宋" w:eastAsia="仿宋_GB2312" w:cs="仿宋"/>
          <w:sz w:val="32"/>
          <w:szCs w:val="32"/>
          <w:lang w:eastAsia="zh-CN"/>
        </w:rPr>
        <w:t>，从污染物的产生、入渗、扩散、应急处置全过程进行防控，切实做好项目各级污染防治区的防雨、防渗工作。</w:t>
      </w:r>
    </w:p>
    <w:p w14:paraId="2A1F9D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lang w:val="en-US" w:eastAsia="zh-CN"/>
        </w:rPr>
      </w:pPr>
      <w:r>
        <w:rPr>
          <w:rFonts w:hint="eastAsia" w:ascii="楷体_GB2312" w:hAnsi="仿宋" w:eastAsia="楷体_GB2312" w:cs="仿宋"/>
          <w:sz w:val="32"/>
          <w:szCs w:val="32"/>
        </w:rPr>
        <w:t>（</w:t>
      </w:r>
      <w:r>
        <w:rPr>
          <w:rFonts w:hint="eastAsia" w:ascii="楷体_GB2312" w:hAnsi="仿宋" w:eastAsia="楷体_GB2312" w:cs="仿宋"/>
          <w:sz w:val="32"/>
          <w:szCs w:val="32"/>
          <w:lang w:val="en-US" w:eastAsia="zh-CN"/>
        </w:rPr>
        <w:t>六</w:t>
      </w:r>
      <w:r>
        <w:rPr>
          <w:rFonts w:hint="eastAsia" w:ascii="楷体_GB2312" w:hAnsi="仿宋" w:eastAsia="楷体_GB2312" w:cs="仿宋"/>
          <w:sz w:val="32"/>
          <w:szCs w:val="32"/>
        </w:rPr>
        <w:t>）</w:t>
      </w:r>
      <w:r>
        <w:rPr>
          <w:rFonts w:hint="eastAsia" w:ascii="仿宋_GB2312" w:hAnsi="仿宋" w:eastAsia="仿宋_GB2312" w:cs="仿宋"/>
          <w:sz w:val="32"/>
          <w:szCs w:val="32"/>
          <w:lang w:val="en-US" w:eastAsia="zh-CN"/>
        </w:rPr>
        <w:t>严格落实农药和化肥的相关使用要求。</w:t>
      </w:r>
      <w:r>
        <w:rPr>
          <w:rFonts w:hint="eastAsia" w:ascii="仿宋_GB2312" w:hAnsi="仿宋" w:eastAsia="仿宋_GB2312" w:cs="仿宋"/>
          <w:sz w:val="32"/>
          <w:szCs w:val="32"/>
        </w:rPr>
        <w:t>严格控制化肥、农药、除草剂等化学品的使用，优先选用低毒、低残留、易降解的环保型产品，严禁使用国家明令禁止的高毒、高残留化学品；</w:t>
      </w:r>
      <w:r>
        <w:rPr>
          <w:rFonts w:hint="eastAsia" w:ascii="仿宋_GB2312" w:hAnsi="仿宋" w:eastAsia="仿宋_GB2312" w:cs="仿宋"/>
          <w:sz w:val="32"/>
          <w:szCs w:val="32"/>
          <w:lang w:val="en-US" w:eastAsia="zh-CN"/>
        </w:rPr>
        <w:t>优化化肥农药施用管理，</w:t>
      </w:r>
      <w:r>
        <w:rPr>
          <w:rFonts w:hint="eastAsia" w:ascii="仿宋_GB2312" w:hAnsi="仿宋" w:eastAsia="仿宋_GB2312" w:cs="仿宋"/>
          <w:sz w:val="32"/>
          <w:szCs w:val="32"/>
        </w:rPr>
        <w:t>合理制定施肥、施药方案，采用精准灌溉等方式，减少化学品流失和下渗；</w:t>
      </w:r>
      <w:r>
        <w:rPr>
          <w:rFonts w:hint="eastAsia" w:ascii="仿宋_GB2312" w:hAnsi="仿宋" w:eastAsia="仿宋_GB2312" w:cs="仿宋"/>
          <w:sz w:val="32"/>
          <w:szCs w:val="32"/>
          <w:lang w:val="en-US" w:eastAsia="zh-CN"/>
        </w:rPr>
        <w:t>有效降低径流污染物负荷。</w:t>
      </w:r>
    </w:p>
    <w:p w14:paraId="2E9CE91A">
      <w:pPr>
        <w:keepNext w:val="0"/>
        <w:keepLines w:val="0"/>
        <w:pageBreakBefore w:val="0"/>
        <w:widowControl w:val="0"/>
        <w:kinsoku/>
        <w:overflowPunct/>
        <w:autoSpaceDE/>
        <w:autoSpaceDN/>
        <w:bidi w:val="0"/>
        <w:adjustRightInd w:val="0"/>
        <w:snapToGrid w:val="0"/>
        <w:spacing w:after="0" w:line="560" w:lineRule="exact"/>
        <w:ind w:firstLine="640" w:firstLineChars="200"/>
        <w:jc w:val="both"/>
        <w:textAlignment w:val="auto"/>
        <w:rPr>
          <w:rFonts w:hint="eastAsia" w:ascii="宋体" w:hAnsi="宋体"/>
          <w:lang w:val="en-US" w:eastAsia="zh-CN"/>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val="en-US" w:eastAsia="zh-CN"/>
        </w:rPr>
        <w:t>七</w:t>
      </w: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val="en-US" w:eastAsia="zh-CN"/>
        </w:rPr>
        <w:t>严格落实环境风险防范措施。严格落实《报告表》提出的各项环境事故风险防范措施和监测计划，严防环境污染和风险事故发生。</w:t>
      </w:r>
      <w:r>
        <w:rPr>
          <w:rFonts w:hint="eastAsia" w:ascii="仿宋_GB2312" w:hAnsi="仿宋" w:eastAsia="仿宋_GB2312"/>
          <w:kern w:val="2"/>
          <w:sz w:val="32"/>
          <w:szCs w:val="32"/>
        </w:rPr>
        <w:t>你单位须建立有效的风险防范措施及预警体系，配备相应的应急设施和物资。</w:t>
      </w:r>
    </w:p>
    <w:p w14:paraId="71F6447F">
      <w:pPr>
        <w:pStyle w:val="12"/>
        <w:keepNext w:val="0"/>
        <w:keepLines w:val="0"/>
        <w:pageBreakBefore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仿宋_GB2312" w:hAnsi="仿宋" w:eastAsia="仿宋_GB2312" w:cs="仿宋"/>
          <w:b/>
          <w:bCs/>
          <w:color w:val="auto"/>
          <w:sz w:val="32"/>
          <w:szCs w:val="32"/>
          <w:lang w:eastAsia="zh-CN"/>
        </w:rPr>
      </w:pPr>
      <w:r>
        <w:rPr>
          <w:rFonts w:hint="eastAsia" w:ascii="仿宋_GB2312" w:hAnsi="仿宋" w:eastAsia="仿宋_GB2312" w:cs="仿宋"/>
          <w:b/>
          <w:bCs/>
          <w:color w:val="auto"/>
          <w:sz w:val="32"/>
          <w:szCs w:val="32"/>
          <w:lang w:eastAsia="zh-CN"/>
        </w:rPr>
        <w:t>三、事中、事后环境管理</w:t>
      </w:r>
    </w:p>
    <w:p w14:paraId="5A42F431">
      <w:pPr>
        <w:pStyle w:val="12"/>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 w:eastAsia="仿宋_GB2312" w:cs="仿宋"/>
          <w:kern w:val="2"/>
          <w:sz w:val="32"/>
          <w:szCs w:val="32"/>
          <w:lang w:val="en-US" w:eastAsia="zh-CN" w:bidi="ar-SA"/>
        </w:rPr>
      </w:pPr>
      <w:r>
        <w:rPr>
          <w:rFonts w:hint="eastAsia" w:ascii="仿宋_GB2312" w:hAnsi="仿宋" w:eastAsia="仿宋_GB2312" w:cs="仿宋"/>
          <w:sz w:val="32"/>
          <w:szCs w:val="32"/>
          <w:lang w:eastAsia="zh-CN"/>
        </w:rPr>
        <w:t>（一）</w:t>
      </w:r>
      <w:r>
        <w:rPr>
          <w:rFonts w:hint="eastAsia" w:ascii="仿宋_GB2312" w:hAnsi="仿宋" w:eastAsia="仿宋_GB2312" w:cs="仿宋"/>
          <w:kern w:val="2"/>
          <w:sz w:val="32"/>
          <w:szCs w:val="32"/>
          <w:lang w:val="en-US" w:eastAsia="zh-CN" w:bidi="ar-SA"/>
        </w:rPr>
        <w:t>《报告书》经批复后，项目的性质、规模、地点、采用的生产工艺或者防治污染、防止生态破坏的措施发生重大变动的，应当重新报批项目环境影响评价文件。项目在实际排污之前须完善排污许可相关手续，并严格按规定程序实施竣工环境保护验收。本项目建设、运行依法需要其他行政许可的，你单位应按规定及时办理并取得其他行政许可。</w:t>
      </w:r>
    </w:p>
    <w:p w14:paraId="3B3F4603">
      <w:pPr>
        <w:adjustRightInd w:val="0"/>
        <w:snapToGrid w:val="0"/>
        <w:spacing w:line="560" w:lineRule="exact"/>
        <w:ind w:firstLine="640" w:firstLineChars="200"/>
        <w:rPr>
          <w:rFonts w:hint="eastAsia" w:ascii="仿宋_GB2312" w:hAnsi="仿宋" w:eastAsia="仿宋_GB2312" w:cs="仿宋"/>
          <w:sz w:val="32"/>
          <w:szCs w:val="32"/>
        </w:rPr>
      </w:pPr>
      <w:r>
        <w:rPr>
          <w:rFonts w:hint="eastAsia" w:eastAsia="仿宋_GB2312" w:cs="Times New Roman"/>
          <w:sz w:val="32"/>
          <w:szCs w:val="32"/>
          <w:lang w:eastAsia="zh-CN"/>
        </w:rPr>
        <w:t>（二）</w:t>
      </w:r>
      <w:r>
        <w:rPr>
          <w:rFonts w:hint="default" w:ascii="Times New Roman" w:hAnsi="Times New Roman" w:eastAsia="仿宋_GB2312" w:cs="Times New Roman"/>
          <w:sz w:val="32"/>
          <w:szCs w:val="32"/>
        </w:rPr>
        <w:t>该项目的环境保护“三同时”监督检查及日常环境管理工作按属地管理原则由常德市生态环境局</w:t>
      </w:r>
      <w:r>
        <w:rPr>
          <w:rFonts w:hint="eastAsia" w:ascii="Times New Roman" w:hAnsi="Times New Roman" w:eastAsia="仿宋_GB2312" w:cs="Times New Roman"/>
          <w:sz w:val="32"/>
          <w:szCs w:val="32"/>
          <w:lang w:val="en-US" w:eastAsia="zh-CN"/>
        </w:rPr>
        <w:t>柳叶湖</w:t>
      </w:r>
      <w:r>
        <w:rPr>
          <w:rFonts w:hint="default" w:ascii="Times New Roman" w:hAnsi="Times New Roman" w:eastAsia="仿宋_GB2312" w:cs="Times New Roman"/>
          <w:sz w:val="32"/>
          <w:szCs w:val="32"/>
        </w:rPr>
        <w:t>分局具体负责。</w:t>
      </w:r>
      <w:r>
        <w:rPr>
          <w:rFonts w:hint="eastAsia" w:ascii="Times New Roman" w:hAnsi="Times New Roman" w:eastAsia="仿宋_GB2312" w:cs="Times New Roman"/>
          <w:sz w:val="32"/>
          <w:szCs w:val="32"/>
          <w:lang w:eastAsia="zh-CN"/>
        </w:rPr>
        <w:t>你</w:t>
      </w:r>
      <w:r>
        <w:rPr>
          <w:rFonts w:hint="default" w:ascii="Times New Roman" w:hAnsi="Times New Roman" w:eastAsia="仿宋_GB2312" w:cs="Times New Roman"/>
          <w:sz w:val="32"/>
          <w:szCs w:val="32"/>
          <w:lang w:val="zh-TW" w:eastAsia="zh-CN"/>
        </w:rPr>
        <w:t>单位应在收到本批复后的</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zh-TW" w:eastAsia="zh-CN"/>
        </w:rPr>
        <w:t>5个工作日内，将批准后的《报告书》</w:t>
      </w:r>
      <w:r>
        <w:rPr>
          <w:rFonts w:hint="eastAsia" w:ascii="Times New Roman" w:hAnsi="Times New Roman" w:eastAsia="仿宋_GB2312" w:cs="Times New Roman"/>
          <w:sz w:val="32"/>
          <w:szCs w:val="32"/>
          <w:lang w:val="zh-TW" w:eastAsia="zh-CN"/>
        </w:rPr>
        <w:t>及本批复</w:t>
      </w:r>
      <w:r>
        <w:rPr>
          <w:rFonts w:hint="default" w:ascii="Times New Roman" w:hAnsi="Times New Roman" w:eastAsia="仿宋_GB2312" w:cs="Times New Roman"/>
          <w:sz w:val="32"/>
          <w:szCs w:val="32"/>
          <w:lang w:val="zh-TW" w:eastAsia="zh-CN"/>
        </w:rPr>
        <w:t>送至常德市生态环境局</w:t>
      </w:r>
      <w:r>
        <w:rPr>
          <w:rFonts w:hint="eastAsia" w:ascii="Times New Roman" w:hAnsi="Times New Roman" w:eastAsia="仿宋_GB2312" w:cs="Times New Roman"/>
          <w:sz w:val="32"/>
          <w:szCs w:val="32"/>
          <w:lang w:val="en-US" w:eastAsia="zh-CN"/>
        </w:rPr>
        <w:t>柳叶湖</w:t>
      </w:r>
      <w:r>
        <w:rPr>
          <w:rFonts w:hint="default" w:ascii="Times New Roman" w:hAnsi="Times New Roman" w:eastAsia="仿宋_GB2312" w:cs="Times New Roman"/>
          <w:sz w:val="32"/>
          <w:szCs w:val="32"/>
        </w:rPr>
        <w:t>分局</w:t>
      </w:r>
      <w:r>
        <w:rPr>
          <w:rFonts w:hint="eastAsia" w:ascii="Times New Roman" w:hAnsi="Times New Roman" w:eastAsia="仿宋_GB2312" w:cs="Times New Roman"/>
          <w:sz w:val="32"/>
          <w:szCs w:val="32"/>
          <w:lang w:val="zh-TW" w:eastAsia="zh-CN"/>
        </w:rPr>
        <w:t>，</w:t>
      </w:r>
      <w:r>
        <w:rPr>
          <w:rFonts w:hint="default" w:ascii="Times New Roman" w:hAnsi="Times New Roman" w:eastAsia="仿宋_GB2312" w:cs="Times New Roman"/>
          <w:sz w:val="32"/>
          <w:szCs w:val="32"/>
          <w:lang w:val="en-US" w:eastAsia="zh-CN"/>
        </w:rPr>
        <w:t>按规定接受生态环境部门监督检查。</w:t>
      </w:r>
    </w:p>
    <w:p w14:paraId="2F83B55E">
      <w:pPr>
        <w:adjustRightInd w:val="0"/>
        <w:snapToGrid w:val="0"/>
        <w:spacing w:line="560" w:lineRule="exact"/>
        <w:ind w:firstLine="4480" w:firstLineChars="1400"/>
        <w:jc w:val="right"/>
        <w:rPr>
          <w:rFonts w:hint="eastAsia" w:ascii="仿宋_GB2312" w:hAnsi="仿宋" w:eastAsia="仿宋_GB2312" w:cs="仿宋"/>
          <w:sz w:val="32"/>
          <w:szCs w:val="32"/>
        </w:rPr>
      </w:pPr>
    </w:p>
    <w:p w14:paraId="578DC405">
      <w:pPr>
        <w:pStyle w:val="12"/>
        <w:adjustRightInd w:val="0"/>
        <w:snapToGrid w:val="0"/>
        <w:spacing w:line="560" w:lineRule="exact"/>
      </w:pPr>
    </w:p>
    <w:p w14:paraId="71101B08">
      <w:pPr>
        <w:adjustRightInd w:val="0"/>
        <w:snapToGrid w:val="0"/>
        <w:spacing w:line="560" w:lineRule="exact"/>
        <w:ind w:right="1046" w:rightChars="498" w:firstLine="4480" w:firstLineChars="1400"/>
        <w:jc w:val="right"/>
        <w:rPr>
          <w:rFonts w:hint="eastAsia" w:ascii="仿宋_GB2312" w:hAnsi="仿宋" w:eastAsia="仿宋_GB2312" w:cs="仿宋"/>
          <w:sz w:val="32"/>
          <w:szCs w:val="32"/>
        </w:rPr>
      </w:pPr>
      <w:r>
        <w:rPr>
          <w:rFonts w:hint="eastAsia" w:ascii="仿宋_GB2312" w:hAnsi="仿宋" w:eastAsia="仿宋_GB2312" w:cs="仿宋"/>
          <w:sz w:val="32"/>
          <w:szCs w:val="32"/>
        </w:rPr>
        <w:t>常德市生态环境局</w:t>
      </w:r>
    </w:p>
    <w:p w14:paraId="49D37EFE">
      <w:pPr>
        <w:adjustRightInd w:val="0"/>
        <w:snapToGrid w:val="0"/>
        <w:spacing w:line="560" w:lineRule="exact"/>
        <w:ind w:firstLine="5280" w:firstLineChars="1650"/>
      </w:pPr>
      <w:r>
        <w:rPr>
          <w:rFonts w:hint="eastAsia" w:ascii="仿宋_GB2312" w:hAnsi="仿宋" w:eastAsia="仿宋_GB2312" w:cs="仿宋"/>
          <w:sz w:val="32"/>
          <w:szCs w:val="32"/>
        </w:rPr>
        <w:t>2026年</w:t>
      </w: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日</w:t>
      </w:r>
    </w:p>
    <w:p w14:paraId="2BAA8639">
      <w:pPr>
        <w:adjustRightInd w:val="0"/>
        <w:snapToGrid w:val="0"/>
        <w:spacing w:line="560" w:lineRule="exact"/>
      </w:pPr>
    </w:p>
    <w:p w14:paraId="4951054D"/>
    <w:p w14:paraId="0C6834B6">
      <w:pPr>
        <w:pStyle w:val="12"/>
      </w:pPr>
    </w:p>
    <w:p w14:paraId="1AC7CB38"/>
    <w:p w14:paraId="0DF8AA87">
      <w:pPr>
        <w:pStyle w:val="12"/>
      </w:pPr>
    </w:p>
    <w:p w14:paraId="5CC433C5"/>
    <w:p w14:paraId="32F282E1">
      <w:pPr>
        <w:pStyle w:val="12"/>
      </w:pPr>
    </w:p>
    <w:p w14:paraId="619CCC8E"/>
    <w:p w14:paraId="6EBAC160">
      <w:pPr>
        <w:pStyle w:val="12"/>
      </w:pPr>
    </w:p>
    <w:p w14:paraId="46627865"/>
    <w:p w14:paraId="79EBB02C">
      <w:pPr>
        <w:pStyle w:val="12"/>
      </w:pPr>
    </w:p>
    <w:p w14:paraId="2DF15BEB"/>
    <w:p w14:paraId="7F99634F">
      <w:pPr>
        <w:pStyle w:val="12"/>
      </w:pPr>
    </w:p>
    <w:p w14:paraId="7C88CB55"/>
    <w:p w14:paraId="6C2BB5E6">
      <w:pPr>
        <w:pStyle w:val="12"/>
      </w:pPr>
    </w:p>
    <w:p w14:paraId="50D46D41"/>
    <w:p w14:paraId="51AC87E4">
      <w:pPr>
        <w:pStyle w:val="12"/>
      </w:pPr>
    </w:p>
    <w:p w14:paraId="3668C0D6">
      <w:pPr>
        <w:pStyle w:val="12"/>
        <w:ind w:left="0" w:leftChars="0" w:firstLine="0" w:firstLineChars="0"/>
      </w:pPr>
    </w:p>
    <w:p w14:paraId="00A15BD0">
      <w:pPr>
        <w:rPr>
          <w:rFonts w:hint="eastAsia"/>
        </w:rPr>
      </w:pPr>
    </w:p>
    <w:p w14:paraId="16908025">
      <w:pPr>
        <w:rPr>
          <w:rFonts w:hint="eastAsia"/>
        </w:rPr>
      </w:pPr>
    </w:p>
    <w:p w14:paraId="5BB2E44E">
      <w:pPr>
        <w:rPr>
          <w:rFonts w:hint="eastAsia"/>
        </w:rPr>
      </w:pPr>
    </w:p>
    <w:p w14:paraId="4CE8284A">
      <w:pPr>
        <w:rPr>
          <w:rFonts w:hint="eastAsia"/>
        </w:rPr>
      </w:pPr>
    </w:p>
    <w:p w14:paraId="762F555B">
      <w:pPr>
        <w:rPr>
          <w:rFonts w:hint="eastAsia"/>
        </w:rPr>
      </w:pPr>
    </w:p>
    <w:p w14:paraId="365FEBE2">
      <w:pPr>
        <w:rPr>
          <w:rFonts w:hint="eastAsia"/>
        </w:rPr>
      </w:pPr>
    </w:p>
    <w:p w14:paraId="3E65887A">
      <w:pPr>
        <w:rPr>
          <w:rFonts w:hint="eastAsia"/>
        </w:rPr>
      </w:pPr>
    </w:p>
    <w:p w14:paraId="49535700">
      <w:pPr>
        <w:rPr>
          <w:rFonts w:hint="eastAsia"/>
        </w:rPr>
      </w:pPr>
    </w:p>
    <w:p w14:paraId="4B61F31D">
      <w:pPr>
        <w:rPr>
          <w:rFonts w:hint="eastAsia"/>
        </w:rPr>
      </w:pPr>
    </w:p>
    <w:p w14:paraId="51C9905A">
      <w:pPr>
        <w:rPr>
          <w:rFonts w:hint="eastAsia"/>
        </w:rPr>
      </w:pPr>
    </w:p>
    <w:p w14:paraId="62DB8B7E">
      <w:pPr>
        <w:rPr>
          <w:rFonts w:hint="eastAsia"/>
        </w:rPr>
      </w:pPr>
    </w:p>
    <w:p w14:paraId="272A4FD7">
      <w:pPr>
        <w:rPr>
          <w:rFonts w:hint="eastAsia"/>
        </w:rPr>
      </w:pPr>
    </w:p>
    <w:p w14:paraId="7E837F0D">
      <w:pPr>
        <w:rPr>
          <w:rFonts w:hint="eastAsia"/>
        </w:rPr>
      </w:pPr>
    </w:p>
    <w:p w14:paraId="12A4BAAF">
      <w:pPr>
        <w:rPr>
          <w:rFonts w:hint="eastAsia"/>
        </w:rPr>
      </w:pPr>
    </w:p>
    <w:p w14:paraId="5F1354B3">
      <w:pPr>
        <w:rPr>
          <w:rFonts w:hint="eastAsia"/>
        </w:rPr>
      </w:pPr>
    </w:p>
    <w:p w14:paraId="72520E75">
      <w:pPr>
        <w:rPr>
          <w:rFonts w:hint="eastAsia"/>
        </w:rPr>
      </w:pPr>
    </w:p>
    <w:p w14:paraId="2C018C11">
      <w:pPr>
        <w:rPr>
          <w:rFonts w:hint="eastAsia"/>
        </w:rPr>
      </w:pPr>
    </w:p>
    <w:p w14:paraId="29D50604">
      <w:pPr>
        <w:rPr>
          <w:rFonts w:hint="eastAsia"/>
        </w:rPr>
      </w:pPr>
    </w:p>
    <w:p w14:paraId="4F972BB5">
      <w:pPr>
        <w:rPr>
          <w:rFonts w:hint="eastAsia"/>
        </w:rPr>
      </w:pPr>
    </w:p>
    <w:p w14:paraId="502B2F06">
      <w:pPr>
        <w:rPr>
          <w:rFonts w:hint="eastAsia"/>
        </w:rPr>
      </w:pPr>
    </w:p>
    <w:p w14:paraId="33C68452">
      <w:pPr>
        <w:rPr>
          <w:rFonts w:hint="eastAsia"/>
        </w:rPr>
      </w:pPr>
    </w:p>
    <w:p w14:paraId="6A2166E7">
      <w:pPr>
        <w:rPr>
          <w:rFonts w:hint="eastAsia"/>
        </w:rPr>
      </w:pPr>
    </w:p>
    <w:p w14:paraId="47A3D142">
      <w:pPr>
        <w:rPr>
          <w:rFonts w:hint="eastAsia"/>
        </w:rPr>
      </w:pPr>
    </w:p>
    <w:p w14:paraId="3BA6791A">
      <w:pPr>
        <w:rPr>
          <w:rFonts w:hint="eastAsia"/>
        </w:rPr>
      </w:pPr>
    </w:p>
    <w:p w14:paraId="6342E36A">
      <w:pPr>
        <w:rPr>
          <w:rFonts w:hint="eastAsia"/>
        </w:rPr>
      </w:pPr>
    </w:p>
    <w:p w14:paraId="5C7199A2">
      <w:pPr>
        <w:rPr>
          <w:rFonts w:hint="eastAsia"/>
        </w:rPr>
      </w:pPr>
    </w:p>
    <w:p w14:paraId="4D3C242B">
      <w:pPr>
        <w:adjustRightInd w:val="0"/>
        <w:snapToGrid w:val="0"/>
      </w:pPr>
    </w:p>
    <w:p w14:paraId="38ED0EFE">
      <w:pPr>
        <w:pStyle w:val="12"/>
        <w:adjustRightInd w:val="0"/>
        <w:snapToGrid w:val="0"/>
        <w:spacing w:after="0"/>
      </w:pPr>
    </w:p>
    <w:p w14:paraId="562D0B88">
      <w:pPr>
        <w:pBdr>
          <w:top w:val="single" w:color="auto" w:sz="4" w:space="1"/>
          <w:bottom w:val="single" w:color="auto" w:sz="4" w:space="1"/>
        </w:pBdr>
        <w:spacing w:line="440" w:lineRule="exact"/>
        <w:rPr>
          <w:rFonts w:ascii="仿宋_GB2312" w:eastAsia="仿宋_GB2312"/>
          <w:sz w:val="28"/>
          <w:szCs w:val="28"/>
        </w:rPr>
      </w:pPr>
      <w:bookmarkStart w:id="2" w:name="_Hlk129270905"/>
      <w:r>
        <w:rPr>
          <w:rFonts w:hint="eastAsia" w:ascii="仿宋_GB2312" w:hAnsi="黑体" w:eastAsia="仿宋_GB2312"/>
          <w:sz w:val="28"/>
          <w:szCs w:val="28"/>
        </w:rPr>
        <w:t>抄送：</w:t>
      </w:r>
      <w:r>
        <w:rPr>
          <w:rFonts w:hint="eastAsia" w:ascii="仿宋_GB2312" w:eastAsia="仿宋_GB2312"/>
          <w:sz w:val="28"/>
          <w:szCs w:val="28"/>
        </w:rPr>
        <w:t>常德市生态环境局</w:t>
      </w:r>
      <w:bookmarkEnd w:id="2"/>
      <w:r>
        <w:rPr>
          <w:rFonts w:hint="eastAsia" w:ascii="仿宋_GB2312" w:eastAsia="仿宋_GB2312"/>
          <w:sz w:val="28"/>
          <w:szCs w:val="28"/>
          <w:lang w:val="en-US" w:eastAsia="zh-CN"/>
        </w:rPr>
        <w:t>柳叶湖</w:t>
      </w:r>
      <w:r>
        <w:rPr>
          <w:rFonts w:hint="eastAsia" w:ascii="仿宋_GB2312" w:eastAsia="仿宋_GB2312"/>
          <w:sz w:val="28"/>
          <w:szCs w:val="28"/>
        </w:rPr>
        <w:t>分局，湖南</w:t>
      </w:r>
      <w:r>
        <w:rPr>
          <w:rFonts w:hint="eastAsia" w:ascii="仿宋_GB2312" w:eastAsia="仿宋_GB2312"/>
          <w:sz w:val="28"/>
          <w:szCs w:val="28"/>
          <w:lang w:val="en-US" w:eastAsia="zh-CN"/>
        </w:rPr>
        <w:t>志远环境咨询</w:t>
      </w:r>
      <w:r>
        <w:rPr>
          <w:rFonts w:hint="eastAsia" w:ascii="仿宋_GB2312" w:eastAsia="仿宋_GB2312"/>
          <w:sz w:val="28"/>
          <w:szCs w:val="28"/>
        </w:rPr>
        <w:t>有限公司</w:t>
      </w:r>
    </w:p>
    <w:sectPr>
      <w:headerReference r:id="rId3" w:type="default"/>
      <w:footerReference r:id="rId4" w:type="default"/>
      <w:footerReference r:id="rId5" w:type="even"/>
      <w:pgSz w:w="11906" w:h="16838"/>
      <w:pgMar w:top="2098" w:right="1474" w:bottom="1701" w:left="1588" w:header="851" w:footer="141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E132D610-0F9C-46FE-8037-5DF274B960DE}"/>
  </w:font>
  <w:font w:name="宋体">
    <w:panose1 w:val="02010600030101010101"/>
    <w:charset w:val="81"/>
    <w:family w:val="auto"/>
    <w:pitch w:val="default"/>
    <w:sig w:usb0="00000203" w:usb1="288F0000" w:usb2="00000006" w:usb3="00000000" w:csb0="00040001" w:csb1="00000000"/>
    <w:embedRegular r:id="rId2" w:fontKey="{F38C31B9-60B3-4151-BDC5-29B62F713A9C}"/>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3" w:fontKey="{5C6031BB-5B3E-408D-B831-F7C9F0F312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等线">
    <w:panose1 w:val="02010600030101010101"/>
    <w:charset w:val="86"/>
    <w:family w:val="auto"/>
    <w:pitch w:val="default"/>
    <w:sig w:usb0="A00002BF" w:usb1="38CF7CFA" w:usb2="00000016" w:usb3="00000000" w:csb0="0004000F" w:csb1="00000000"/>
    <w:embedRegular r:id="rId4" w:fontKey="{A1AC0701-68AA-429E-AD53-04D020B175E7}"/>
  </w:font>
  <w:font w:name="仿宋">
    <w:panose1 w:val="02010609060101010101"/>
    <w:charset w:val="86"/>
    <w:family w:val="modern"/>
    <w:pitch w:val="default"/>
    <w:sig w:usb0="800002BF" w:usb1="38CF7CFA" w:usb2="00000016" w:usb3="00000000" w:csb0="00040001" w:csb1="00000000"/>
    <w:embedRegular r:id="rId5" w:fontKey="{2FF1DBC3-9B99-4E1C-9F39-2E3F00E3E498}"/>
  </w:font>
  <w:font w:name="仿宋_GB2312">
    <w:panose1 w:val="02010609030101010101"/>
    <w:charset w:val="86"/>
    <w:family w:val="modern"/>
    <w:pitch w:val="default"/>
    <w:sig w:usb0="00000001" w:usb1="080E0000" w:usb2="00000000" w:usb3="00000000" w:csb0="00040000" w:csb1="00000000"/>
    <w:embedRegular r:id="rId6" w:fontKey="{62F1AF28-AB8C-4F7C-9AD1-5A8BDDD6584F}"/>
  </w:font>
  <w:font w:name="方正小标宋简体">
    <w:panose1 w:val="02000000000000000000"/>
    <w:charset w:val="86"/>
    <w:family w:val="script"/>
    <w:pitch w:val="default"/>
    <w:sig w:usb0="00000001" w:usb1="080E0000" w:usb2="00000000" w:usb3="00000000" w:csb0="00040000" w:csb1="00000000"/>
    <w:embedRegular r:id="rId7" w:fontKey="{71D7C078-ECAE-4244-BD8C-5BD3567F8D06}"/>
  </w:font>
  <w:font w:name="楷体_GB2312">
    <w:panose1 w:val="02010609030101010101"/>
    <w:charset w:val="86"/>
    <w:family w:val="modern"/>
    <w:pitch w:val="default"/>
    <w:sig w:usb0="00000001" w:usb1="080E0000" w:usb2="00000000" w:usb3="00000000" w:csb0="00040000" w:csb1="00000000"/>
    <w:embedRegular r:id="rId8" w:fontKey="{B3B1DB4A-8AA5-4FE3-8A3B-D1EFDD1F98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5E649">
    <w:pPr>
      <w:pStyle w:val="7"/>
      <w:framePr w:wrap="around" w:vAnchor="text" w:hAnchor="margin" w:xAlign="outside" w:y="1"/>
      <w:rPr>
        <w:rStyle w:val="16"/>
        <w:rFonts w:hint="eastAsia" w:ascii="宋体" w:hAnsi="宋体"/>
        <w:sz w:val="24"/>
        <w:szCs w:val="24"/>
      </w:rPr>
    </w:pPr>
    <w:r>
      <w:rPr>
        <w:rStyle w:val="16"/>
        <w:rFonts w:ascii="宋体" w:hAnsi="宋体"/>
        <w:sz w:val="24"/>
        <w:szCs w:val="24"/>
      </w:rPr>
      <w:fldChar w:fldCharType="begin"/>
    </w:r>
    <w:r>
      <w:rPr>
        <w:rStyle w:val="16"/>
        <w:rFonts w:ascii="宋体" w:hAnsi="宋体"/>
        <w:sz w:val="24"/>
        <w:szCs w:val="24"/>
      </w:rPr>
      <w:instrText xml:space="preserve">PAGE  </w:instrText>
    </w:r>
    <w:r>
      <w:rPr>
        <w:rStyle w:val="16"/>
        <w:rFonts w:ascii="宋体" w:hAnsi="宋体"/>
        <w:sz w:val="24"/>
        <w:szCs w:val="24"/>
      </w:rPr>
      <w:fldChar w:fldCharType="separate"/>
    </w:r>
    <w:r>
      <w:rPr>
        <w:rStyle w:val="16"/>
        <w:rFonts w:ascii="宋体" w:hAnsi="宋体"/>
        <w:sz w:val="24"/>
        <w:szCs w:val="24"/>
      </w:rPr>
      <w:t>- 6 -</w:t>
    </w:r>
    <w:r>
      <w:rPr>
        <w:rStyle w:val="16"/>
        <w:rFonts w:ascii="宋体" w:hAnsi="宋体"/>
        <w:sz w:val="24"/>
        <w:szCs w:val="24"/>
      </w:rPr>
      <w:fldChar w:fldCharType="end"/>
    </w:r>
  </w:p>
  <w:p w14:paraId="2942B5A2">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F9A78">
    <w:pPr>
      <w:pStyle w:val="7"/>
      <w:framePr w:wrap="around" w:vAnchor="text" w:hAnchor="margin" w:xAlign="outside" w:y="1"/>
      <w:rPr>
        <w:rStyle w:val="16"/>
      </w:rPr>
    </w:pPr>
    <w:r>
      <w:rPr>
        <w:rStyle w:val="16"/>
      </w:rPr>
      <w:fldChar w:fldCharType="begin"/>
    </w:r>
    <w:r>
      <w:rPr>
        <w:rStyle w:val="16"/>
      </w:rPr>
      <w:instrText xml:space="preserve">PAGE  </w:instrText>
    </w:r>
    <w:r>
      <w:rPr>
        <w:rStyle w:val="16"/>
      </w:rPr>
      <w:fldChar w:fldCharType="end"/>
    </w:r>
  </w:p>
  <w:p w14:paraId="704E0C09">
    <w:pPr>
      <w:pStyle w:val="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FC9D">
    <w:pPr>
      <w:pStyle w:val="8"/>
      <w:pBdr>
        <w:bottom w:val="none" w:color="auto" w:sz="0" w:space="0"/>
      </w:pBdr>
      <w:tabs>
        <w:tab w:val="left" w:pos="3200"/>
      </w:tabs>
      <w:jc w:val="both"/>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CDC46D"/>
    <w:multiLevelType w:val="singleLevel"/>
    <w:tmpl w:val="9DCDC46D"/>
    <w:lvl w:ilvl="0" w:tentative="0">
      <w:start w:val="3"/>
      <w:numFmt w:val="chineseCounting"/>
      <w:suff w:val="nothing"/>
      <w:lvlText w:val="（%1）"/>
      <w:lvlJc w:val="left"/>
      <w:rPr>
        <w:rFonts w:hint="eastAsia"/>
      </w:rPr>
    </w:lvl>
  </w:abstractNum>
  <w:abstractNum w:abstractNumId="1">
    <w:nsid w:val="67BE57A6"/>
    <w:multiLevelType w:val="singleLevel"/>
    <w:tmpl w:val="67BE57A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embedSystem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CA8"/>
    <w:rsid w:val="00000121"/>
    <w:rsid w:val="00001528"/>
    <w:rsid w:val="00001AA6"/>
    <w:rsid w:val="00016011"/>
    <w:rsid w:val="00016799"/>
    <w:rsid w:val="000324B4"/>
    <w:rsid w:val="00035E83"/>
    <w:rsid w:val="00041F14"/>
    <w:rsid w:val="00066C72"/>
    <w:rsid w:val="00074427"/>
    <w:rsid w:val="00077FF9"/>
    <w:rsid w:val="000A146C"/>
    <w:rsid w:val="000A55E6"/>
    <w:rsid w:val="000A748B"/>
    <w:rsid w:val="000B4A46"/>
    <w:rsid w:val="000B6B06"/>
    <w:rsid w:val="000C3650"/>
    <w:rsid w:val="000C7FD4"/>
    <w:rsid w:val="000D2520"/>
    <w:rsid w:val="000D67CE"/>
    <w:rsid w:val="000D6FD4"/>
    <w:rsid w:val="000E54BB"/>
    <w:rsid w:val="000F141B"/>
    <w:rsid w:val="001111A9"/>
    <w:rsid w:val="001145FB"/>
    <w:rsid w:val="00117CA8"/>
    <w:rsid w:val="00120C21"/>
    <w:rsid w:val="001332D1"/>
    <w:rsid w:val="00137D01"/>
    <w:rsid w:val="00142198"/>
    <w:rsid w:val="00156AEC"/>
    <w:rsid w:val="00181BC5"/>
    <w:rsid w:val="001849E6"/>
    <w:rsid w:val="0019050D"/>
    <w:rsid w:val="00197CC9"/>
    <w:rsid w:val="001A5753"/>
    <w:rsid w:val="001B21D9"/>
    <w:rsid w:val="001B7150"/>
    <w:rsid w:val="001D092F"/>
    <w:rsid w:val="001E31BE"/>
    <w:rsid w:val="001F035F"/>
    <w:rsid w:val="001F13C4"/>
    <w:rsid w:val="001F2450"/>
    <w:rsid w:val="00202889"/>
    <w:rsid w:val="00203F93"/>
    <w:rsid w:val="002069D5"/>
    <w:rsid w:val="0021291D"/>
    <w:rsid w:val="00214DE7"/>
    <w:rsid w:val="00223AA9"/>
    <w:rsid w:val="00227F5A"/>
    <w:rsid w:val="0023457A"/>
    <w:rsid w:val="002345C5"/>
    <w:rsid w:val="0024006C"/>
    <w:rsid w:val="00251890"/>
    <w:rsid w:val="00264A80"/>
    <w:rsid w:val="002800CC"/>
    <w:rsid w:val="002816F7"/>
    <w:rsid w:val="002820A7"/>
    <w:rsid w:val="002821DD"/>
    <w:rsid w:val="00285584"/>
    <w:rsid w:val="00296765"/>
    <w:rsid w:val="002D0911"/>
    <w:rsid w:val="002D3454"/>
    <w:rsid w:val="002D4177"/>
    <w:rsid w:val="002E2424"/>
    <w:rsid w:val="002E616C"/>
    <w:rsid w:val="002F4147"/>
    <w:rsid w:val="002F7103"/>
    <w:rsid w:val="003061CF"/>
    <w:rsid w:val="003078CE"/>
    <w:rsid w:val="00310F42"/>
    <w:rsid w:val="00316624"/>
    <w:rsid w:val="00366021"/>
    <w:rsid w:val="00367E32"/>
    <w:rsid w:val="00381717"/>
    <w:rsid w:val="003835C0"/>
    <w:rsid w:val="00386A60"/>
    <w:rsid w:val="00386CF4"/>
    <w:rsid w:val="003A2D06"/>
    <w:rsid w:val="003B2CE0"/>
    <w:rsid w:val="003B2E73"/>
    <w:rsid w:val="003B30FC"/>
    <w:rsid w:val="003C07EB"/>
    <w:rsid w:val="003C2C9F"/>
    <w:rsid w:val="003C4F29"/>
    <w:rsid w:val="003D218E"/>
    <w:rsid w:val="003E16BA"/>
    <w:rsid w:val="003E3FED"/>
    <w:rsid w:val="003E7C69"/>
    <w:rsid w:val="003F688F"/>
    <w:rsid w:val="00401F4A"/>
    <w:rsid w:val="004052D8"/>
    <w:rsid w:val="004154D7"/>
    <w:rsid w:val="004341D5"/>
    <w:rsid w:val="00434E29"/>
    <w:rsid w:val="00442D18"/>
    <w:rsid w:val="00455AA4"/>
    <w:rsid w:val="00462ECD"/>
    <w:rsid w:val="00475935"/>
    <w:rsid w:val="00487341"/>
    <w:rsid w:val="00495011"/>
    <w:rsid w:val="004A1FB8"/>
    <w:rsid w:val="004B668A"/>
    <w:rsid w:val="004D3B6A"/>
    <w:rsid w:val="004D3CCC"/>
    <w:rsid w:val="004E3A53"/>
    <w:rsid w:val="004F1D9A"/>
    <w:rsid w:val="004F27A6"/>
    <w:rsid w:val="00501C68"/>
    <w:rsid w:val="00504550"/>
    <w:rsid w:val="00505000"/>
    <w:rsid w:val="0050690E"/>
    <w:rsid w:val="005138B7"/>
    <w:rsid w:val="005168D4"/>
    <w:rsid w:val="00520716"/>
    <w:rsid w:val="00520CEA"/>
    <w:rsid w:val="005255AB"/>
    <w:rsid w:val="005343A4"/>
    <w:rsid w:val="005377B8"/>
    <w:rsid w:val="00541F95"/>
    <w:rsid w:val="00547F94"/>
    <w:rsid w:val="005549D5"/>
    <w:rsid w:val="00554BA4"/>
    <w:rsid w:val="00561631"/>
    <w:rsid w:val="00564814"/>
    <w:rsid w:val="0056509E"/>
    <w:rsid w:val="0057462E"/>
    <w:rsid w:val="00575EBA"/>
    <w:rsid w:val="00580E3C"/>
    <w:rsid w:val="005818E2"/>
    <w:rsid w:val="00583A6C"/>
    <w:rsid w:val="00590B40"/>
    <w:rsid w:val="00593021"/>
    <w:rsid w:val="00596C0B"/>
    <w:rsid w:val="005C0373"/>
    <w:rsid w:val="005C699B"/>
    <w:rsid w:val="005D1F18"/>
    <w:rsid w:val="005D51F6"/>
    <w:rsid w:val="005D5855"/>
    <w:rsid w:val="005D7EE1"/>
    <w:rsid w:val="005E50FD"/>
    <w:rsid w:val="00600393"/>
    <w:rsid w:val="006003A6"/>
    <w:rsid w:val="00604F79"/>
    <w:rsid w:val="0062087E"/>
    <w:rsid w:val="00624C02"/>
    <w:rsid w:val="00626B08"/>
    <w:rsid w:val="0063238E"/>
    <w:rsid w:val="00633769"/>
    <w:rsid w:val="0063630B"/>
    <w:rsid w:val="00640BEC"/>
    <w:rsid w:val="006473FA"/>
    <w:rsid w:val="00652FB6"/>
    <w:rsid w:val="006558E2"/>
    <w:rsid w:val="0066177D"/>
    <w:rsid w:val="00662848"/>
    <w:rsid w:val="006636E6"/>
    <w:rsid w:val="006666D5"/>
    <w:rsid w:val="006703C4"/>
    <w:rsid w:val="00671E03"/>
    <w:rsid w:val="00672EA8"/>
    <w:rsid w:val="00676967"/>
    <w:rsid w:val="00683E8A"/>
    <w:rsid w:val="00684BE3"/>
    <w:rsid w:val="006869A6"/>
    <w:rsid w:val="0069125A"/>
    <w:rsid w:val="006928F1"/>
    <w:rsid w:val="006951EF"/>
    <w:rsid w:val="006A1147"/>
    <w:rsid w:val="006A4109"/>
    <w:rsid w:val="006A4481"/>
    <w:rsid w:val="006A5327"/>
    <w:rsid w:val="006A7E5E"/>
    <w:rsid w:val="006B33C0"/>
    <w:rsid w:val="006B5225"/>
    <w:rsid w:val="006B68F3"/>
    <w:rsid w:val="006B78D9"/>
    <w:rsid w:val="006C1B6E"/>
    <w:rsid w:val="006E20E5"/>
    <w:rsid w:val="006F1E22"/>
    <w:rsid w:val="006F2F87"/>
    <w:rsid w:val="007005B6"/>
    <w:rsid w:val="00732DA3"/>
    <w:rsid w:val="00753865"/>
    <w:rsid w:val="007576A1"/>
    <w:rsid w:val="00763435"/>
    <w:rsid w:val="00764B66"/>
    <w:rsid w:val="00766A53"/>
    <w:rsid w:val="007757A8"/>
    <w:rsid w:val="00775D92"/>
    <w:rsid w:val="00780624"/>
    <w:rsid w:val="00797034"/>
    <w:rsid w:val="007B327B"/>
    <w:rsid w:val="007C1C52"/>
    <w:rsid w:val="007C358E"/>
    <w:rsid w:val="007D0144"/>
    <w:rsid w:val="007E5068"/>
    <w:rsid w:val="007F2333"/>
    <w:rsid w:val="007F4D27"/>
    <w:rsid w:val="007F545D"/>
    <w:rsid w:val="007F6088"/>
    <w:rsid w:val="00803FCB"/>
    <w:rsid w:val="0081375A"/>
    <w:rsid w:val="008164A5"/>
    <w:rsid w:val="00825472"/>
    <w:rsid w:val="0083467A"/>
    <w:rsid w:val="00860A1E"/>
    <w:rsid w:val="00860B66"/>
    <w:rsid w:val="0086317D"/>
    <w:rsid w:val="00865973"/>
    <w:rsid w:val="00870988"/>
    <w:rsid w:val="008764B9"/>
    <w:rsid w:val="00877524"/>
    <w:rsid w:val="008944DF"/>
    <w:rsid w:val="00895286"/>
    <w:rsid w:val="008C1713"/>
    <w:rsid w:val="008C262A"/>
    <w:rsid w:val="008C6506"/>
    <w:rsid w:val="008C6FC3"/>
    <w:rsid w:val="008D289E"/>
    <w:rsid w:val="008D408F"/>
    <w:rsid w:val="008D5244"/>
    <w:rsid w:val="008E437F"/>
    <w:rsid w:val="008F3455"/>
    <w:rsid w:val="0090153B"/>
    <w:rsid w:val="009020ED"/>
    <w:rsid w:val="00906775"/>
    <w:rsid w:val="00914805"/>
    <w:rsid w:val="0091490B"/>
    <w:rsid w:val="00921531"/>
    <w:rsid w:val="00921E47"/>
    <w:rsid w:val="00922F3A"/>
    <w:rsid w:val="0093106C"/>
    <w:rsid w:val="0093264E"/>
    <w:rsid w:val="009363AF"/>
    <w:rsid w:val="00940C41"/>
    <w:rsid w:val="00941919"/>
    <w:rsid w:val="009450A7"/>
    <w:rsid w:val="00947E7A"/>
    <w:rsid w:val="00952D98"/>
    <w:rsid w:val="00953EFD"/>
    <w:rsid w:val="009646B5"/>
    <w:rsid w:val="00967292"/>
    <w:rsid w:val="00996597"/>
    <w:rsid w:val="009C3D45"/>
    <w:rsid w:val="009C413B"/>
    <w:rsid w:val="009D0D63"/>
    <w:rsid w:val="009D67C3"/>
    <w:rsid w:val="009E0551"/>
    <w:rsid w:val="009E13EB"/>
    <w:rsid w:val="009E3FF6"/>
    <w:rsid w:val="009E72B5"/>
    <w:rsid w:val="009F0609"/>
    <w:rsid w:val="009F3477"/>
    <w:rsid w:val="00A144FA"/>
    <w:rsid w:val="00A16A2B"/>
    <w:rsid w:val="00A20861"/>
    <w:rsid w:val="00A21E46"/>
    <w:rsid w:val="00A340BC"/>
    <w:rsid w:val="00A36956"/>
    <w:rsid w:val="00A36DFA"/>
    <w:rsid w:val="00A420E4"/>
    <w:rsid w:val="00A463C3"/>
    <w:rsid w:val="00A468E3"/>
    <w:rsid w:val="00A46959"/>
    <w:rsid w:val="00A503F4"/>
    <w:rsid w:val="00A56309"/>
    <w:rsid w:val="00A6475C"/>
    <w:rsid w:val="00A708CC"/>
    <w:rsid w:val="00A72E14"/>
    <w:rsid w:val="00A74A80"/>
    <w:rsid w:val="00A77E97"/>
    <w:rsid w:val="00A8778D"/>
    <w:rsid w:val="00A93FAC"/>
    <w:rsid w:val="00AB6871"/>
    <w:rsid w:val="00AB7C86"/>
    <w:rsid w:val="00AE28AF"/>
    <w:rsid w:val="00B00FAA"/>
    <w:rsid w:val="00B03DD9"/>
    <w:rsid w:val="00B07026"/>
    <w:rsid w:val="00B16034"/>
    <w:rsid w:val="00B2592C"/>
    <w:rsid w:val="00B31973"/>
    <w:rsid w:val="00B37BC1"/>
    <w:rsid w:val="00B41254"/>
    <w:rsid w:val="00B420F0"/>
    <w:rsid w:val="00B67285"/>
    <w:rsid w:val="00B84D8E"/>
    <w:rsid w:val="00BA2D69"/>
    <w:rsid w:val="00BB078D"/>
    <w:rsid w:val="00BB2404"/>
    <w:rsid w:val="00BB380D"/>
    <w:rsid w:val="00BD1767"/>
    <w:rsid w:val="00BE220C"/>
    <w:rsid w:val="00BF7EB4"/>
    <w:rsid w:val="00C0251C"/>
    <w:rsid w:val="00C1644B"/>
    <w:rsid w:val="00C2190F"/>
    <w:rsid w:val="00C219B1"/>
    <w:rsid w:val="00C21A98"/>
    <w:rsid w:val="00C25E77"/>
    <w:rsid w:val="00C2708E"/>
    <w:rsid w:val="00C32910"/>
    <w:rsid w:val="00C34B0B"/>
    <w:rsid w:val="00C47B34"/>
    <w:rsid w:val="00C517D1"/>
    <w:rsid w:val="00C601BC"/>
    <w:rsid w:val="00C631DB"/>
    <w:rsid w:val="00C654C8"/>
    <w:rsid w:val="00C810A5"/>
    <w:rsid w:val="00CA70C0"/>
    <w:rsid w:val="00CB7C82"/>
    <w:rsid w:val="00CF4524"/>
    <w:rsid w:val="00CF7BBB"/>
    <w:rsid w:val="00D027A6"/>
    <w:rsid w:val="00D05AEF"/>
    <w:rsid w:val="00D179F1"/>
    <w:rsid w:val="00D238C9"/>
    <w:rsid w:val="00D355F2"/>
    <w:rsid w:val="00D367DC"/>
    <w:rsid w:val="00D44001"/>
    <w:rsid w:val="00D44FBF"/>
    <w:rsid w:val="00D6069C"/>
    <w:rsid w:val="00D6682F"/>
    <w:rsid w:val="00D67688"/>
    <w:rsid w:val="00D74427"/>
    <w:rsid w:val="00D850D1"/>
    <w:rsid w:val="00DB0F57"/>
    <w:rsid w:val="00DB31CC"/>
    <w:rsid w:val="00DC0BE7"/>
    <w:rsid w:val="00DC6AAA"/>
    <w:rsid w:val="00DD5DB5"/>
    <w:rsid w:val="00DE3532"/>
    <w:rsid w:val="00DE4D7E"/>
    <w:rsid w:val="00DE5FBF"/>
    <w:rsid w:val="00DF136E"/>
    <w:rsid w:val="00DF5469"/>
    <w:rsid w:val="00E006AA"/>
    <w:rsid w:val="00E1175E"/>
    <w:rsid w:val="00E15A1A"/>
    <w:rsid w:val="00E160C0"/>
    <w:rsid w:val="00E215A5"/>
    <w:rsid w:val="00E2320D"/>
    <w:rsid w:val="00E23E62"/>
    <w:rsid w:val="00E27147"/>
    <w:rsid w:val="00E2780B"/>
    <w:rsid w:val="00E31F7C"/>
    <w:rsid w:val="00E337CD"/>
    <w:rsid w:val="00E350F5"/>
    <w:rsid w:val="00E532E1"/>
    <w:rsid w:val="00E609AD"/>
    <w:rsid w:val="00E63626"/>
    <w:rsid w:val="00E64B00"/>
    <w:rsid w:val="00E66A22"/>
    <w:rsid w:val="00E712DB"/>
    <w:rsid w:val="00E84C72"/>
    <w:rsid w:val="00E85B53"/>
    <w:rsid w:val="00E93771"/>
    <w:rsid w:val="00EA15FE"/>
    <w:rsid w:val="00EA4170"/>
    <w:rsid w:val="00EA76B2"/>
    <w:rsid w:val="00EB6FBF"/>
    <w:rsid w:val="00EC078F"/>
    <w:rsid w:val="00EE4622"/>
    <w:rsid w:val="00F05A1E"/>
    <w:rsid w:val="00F24A3E"/>
    <w:rsid w:val="00F27159"/>
    <w:rsid w:val="00F417C2"/>
    <w:rsid w:val="00F45D52"/>
    <w:rsid w:val="00F45E44"/>
    <w:rsid w:val="00F4765F"/>
    <w:rsid w:val="00F555CF"/>
    <w:rsid w:val="00F62987"/>
    <w:rsid w:val="00F63F7A"/>
    <w:rsid w:val="00F724EA"/>
    <w:rsid w:val="00F74220"/>
    <w:rsid w:val="00F7535A"/>
    <w:rsid w:val="00F77070"/>
    <w:rsid w:val="00F8492F"/>
    <w:rsid w:val="00F962BE"/>
    <w:rsid w:val="00FA2AA0"/>
    <w:rsid w:val="00FB35DE"/>
    <w:rsid w:val="00FB6C1F"/>
    <w:rsid w:val="00FB7214"/>
    <w:rsid w:val="00FC0AE7"/>
    <w:rsid w:val="00FD4311"/>
    <w:rsid w:val="00FE673A"/>
    <w:rsid w:val="04A647CA"/>
    <w:rsid w:val="092A2231"/>
    <w:rsid w:val="0E973979"/>
    <w:rsid w:val="1A572894"/>
    <w:rsid w:val="1D6B3F53"/>
    <w:rsid w:val="264147B4"/>
    <w:rsid w:val="29533F79"/>
    <w:rsid w:val="445D558F"/>
    <w:rsid w:val="53200FE5"/>
    <w:rsid w:val="7B1E2B9A"/>
    <w:rsid w:val="7EBF5DBB"/>
    <w:rsid w:val="7F5D794D"/>
    <w:rsid w:val="FFBB3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next w:val="4"/>
    <w:link w:val="19"/>
    <w:semiHidden/>
    <w:unhideWhenUsed/>
    <w:qFormat/>
    <w:uiPriority w:val="99"/>
    <w:pPr>
      <w:spacing w:after="120"/>
    </w:pPr>
  </w:style>
  <w:style w:type="paragraph" w:customStyle="1" w:styleId="4">
    <w:name w:val="xl27"/>
    <w:basedOn w:val="2"/>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olor w:val="000000"/>
      <w:sz w:val="20"/>
      <w:szCs w:val="20"/>
    </w:rPr>
  </w:style>
  <w:style w:type="paragraph" w:styleId="5">
    <w:name w:val="Body Text Indent"/>
    <w:basedOn w:val="1"/>
    <w:link w:val="17"/>
    <w:semiHidden/>
    <w:unhideWhenUsed/>
    <w:qFormat/>
    <w:uiPriority w:val="99"/>
    <w:pPr>
      <w:spacing w:after="120"/>
      <w:ind w:left="420" w:leftChars="200"/>
    </w:pPr>
  </w:style>
  <w:style w:type="paragraph" w:styleId="6">
    <w:name w:val="Plain Text"/>
    <w:basedOn w:val="1"/>
    <w:qFormat/>
    <w:uiPriority w:val="0"/>
    <w:pPr>
      <w:widowControl/>
      <w:spacing w:line="440" w:lineRule="exact"/>
      <w:ind w:firstLine="425"/>
      <w:jc w:val="left"/>
    </w:pPr>
    <w:rPr>
      <w:rFonts w:ascii="宋体" w:cs="Courier New"/>
      <w:kern w:val="0"/>
      <w:sz w:val="24"/>
      <w:szCs w:val="24"/>
    </w:rPr>
  </w:style>
  <w:style w:type="paragraph" w:styleId="7">
    <w:name w:val="footer"/>
    <w:basedOn w:val="1"/>
    <w:link w:val="21"/>
    <w:qFormat/>
    <w:uiPriority w:val="0"/>
    <w:pPr>
      <w:tabs>
        <w:tab w:val="center" w:pos="4153"/>
        <w:tab w:val="right" w:pos="8306"/>
      </w:tabs>
      <w:snapToGrid w:val="0"/>
      <w:jc w:val="left"/>
    </w:pPr>
    <w:rPr>
      <w:sz w:val="18"/>
      <w:szCs w:val="18"/>
    </w:rPr>
  </w:style>
  <w:style w:type="paragraph" w:styleId="8">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next w:val="3"/>
    <w:link w:val="23"/>
    <w:qFormat/>
    <w:uiPriority w:val="0"/>
    <w:pPr>
      <w:spacing w:after="120" w:line="480" w:lineRule="auto"/>
    </w:p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Body Text First Indent"/>
    <w:basedOn w:val="1"/>
    <w:next w:val="1"/>
    <w:link w:val="20"/>
    <w:qFormat/>
    <w:uiPriority w:val="0"/>
    <w:pPr>
      <w:ind w:firstLine="420" w:firstLineChars="100"/>
    </w:pPr>
  </w:style>
  <w:style w:type="paragraph" w:styleId="12">
    <w:name w:val="Body Text First Indent 2"/>
    <w:basedOn w:val="5"/>
    <w:next w:val="1"/>
    <w:link w:val="18"/>
    <w:qFormat/>
    <w:uiPriority w:val="0"/>
    <w:pPr>
      <w:ind w:firstLine="420" w:firstLineChars="200"/>
    </w:pPr>
  </w:style>
  <w:style w:type="character" w:styleId="15">
    <w:name w:val="Strong"/>
    <w:basedOn w:val="14"/>
    <w:qFormat/>
    <w:uiPriority w:val="22"/>
    <w:rPr>
      <w:b/>
    </w:rPr>
  </w:style>
  <w:style w:type="character" w:styleId="16">
    <w:name w:val="page number"/>
    <w:qFormat/>
    <w:uiPriority w:val="0"/>
  </w:style>
  <w:style w:type="character" w:customStyle="1" w:styleId="17">
    <w:name w:val="正文文本缩进 字符"/>
    <w:basedOn w:val="14"/>
    <w:link w:val="5"/>
    <w:semiHidden/>
    <w:qFormat/>
    <w:uiPriority w:val="99"/>
    <w:rPr>
      <w:rFonts w:ascii="Times New Roman" w:hAnsi="Times New Roman" w:eastAsia="宋体" w:cs="Times New Roman"/>
      <w:sz w:val="21"/>
      <w:szCs w:val="24"/>
    </w:rPr>
  </w:style>
  <w:style w:type="character" w:customStyle="1" w:styleId="18">
    <w:name w:val="正文文本首行缩进 2 字符"/>
    <w:basedOn w:val="17"/>
    <w:link w:val="12"/>
    <w:qFormat/>
    <w:uiPriority w:val="0"/>
    <w:rPr>
      <w:rFonts w:ascii="Times New Roman" w:hAnsi="Times New Roman" w:eastAsia="宋体" w:cs="Times New Roman"/>
      <w:sz w:val="21"/>
      <w:szCs w:val="24"/>
    </w:rPr>
  </w:style>
  <w:style w:type="character" w:customStyle="1" w:styleId="19">
    <w:name w:val="正文文本 字符"/>
    <w:basedOn w:val="14"/>
    <w:link w:val="3"/>
    <w:semiHidden/>
    <w:qFormat/>
    <w:uiPriority w:val="99"/>
    <w:rPr>
      <w:rFonts w:ascii="Times New Roman" w:hAnsi="Times New Roman" w:eastAsia="宋体" w:cs="Times New Roman"/>
      <w:sz w:val="21"/>
      <w:szCs w:val="24"/>
    </w:rPr>
  </w:style>
  <w:style w:type="character" w:customStyle="1" w:styleId="20">
    <w:name w:val="正文文本首行缩进 字符"/>
    <w:basedOn w:val="19"/>
    <w:link w:val="11"/>
    <w:qFormat/>
    <w:uiPriority w:val="0"/>
    <w:rPr>
      <w:rFonts w:ascii="Times New Roman" w:hAnsi="Times New Roman" w:eastAsia="宋体" w:cs="Times New Roman"/>
      <w:sz w:val="21"/>
      <w:szCs w:val="24"/>
    </w:rPr>
  </w:style>
  <w:style w:type="character" w:customStyle="1" w:styleId="21">
    <w:name w:val="页脚 字符"/>
    <w:basedOn w:val="14"/>
    <w:link w:val="7"/>
    <w:qFormat/>
    <w:uiPriority w:val="0"/>
    <w:rPr>
      <w:rFonts w:ascii="Times New Roman" w:hAnsi="Times New Roman" w:eastAsia="宋体" w:cs="Times New Roman"/>
      <w:sz w:val="18"/>
      <w:szCs w:val="18"/>
    </w:rPr>
  </w:style>
  <w:style w:type="character" w:customStyle="1" w:styleId="22">
    <w:name w:val="页眉 字符"/>
    <w:basedOn w:val="14"/>
    <w:link w:val="8"/>
    <w:qFormat/>
    <w:uiPriority w:val="0"/>
    <w:rPr>
      <w:rFonts w:ascii="Times New Roman" w:hAnsi="Times New Roman" w:eastAsia="宋体" w:cs="Times New Roman"/>
      <w:sz w:val="18"/>
      <w:szCs w:val="18"/>
    </w:rPr>
  </w:style>
  <w:style w:type="character" w:customStyle="1" w:styleId="23">
    <w:name w:val="正文文本 2 字符"/>
    <w:basedOn w:val="14"/>
    <w:link w:val="9"/>
    <w:qFormat/>
    <w:uiPriority w:val="0"/>
    <w:rPr>
      <w:rFonts w:ascii="Times New Roman" w:hAnsi="Times New Roman" w:eastAsia="宋体" w:cs="Times New Roman"/>
      <w:sz w:val="21"/>
      <w:szCs w:val="24"/>
    </w:rPr>
  </w:style>
  <w:style w:type="paragraph" w:styleId="24">
    <w:name w:val="List Paragraph"/>
    <w:basedOn w:val="1"/>
    <w:qFormat/>
    <w:uiPriority w:val="34"/>
    <w:pPr>
      <w:ind w:firstLine="420" w:firstLineChars="200"/>
    </w:pPr>
  </w:style>
  <w:style w:type="character" w:customStyle="1" w:styleId="25">
    <w:name w:val="NormalCharacter"/>
    <w:semiHidden/>
    <w:qFormat/>
    <w:uiPriority w:val="0"/>
    <w:rPr>
      <w:rFonts w:ascii="等线" w:hAnsi="等线" w:eastAsia="仿宋"/>
      <w:kern w:val="2"/>
      <w:sz w:val="30"/>
      <w:szCs w:val="22"/>
      <w:lang w:val="en-US" w:eastAsia="zh-CN" w:bidi="ar-SA"/>
    </w:rPr>
  </w:style>
  <w:style w:type="paragraph" w:customStyle="1" w:styleId="26">
    <w:name w:val="（正文）"/>
    <w:basedOn w:val="6"/>
    <w:qFormat/>
    <w:uiPriority w:val="0"/>
    <w:pPr>
      <w:spacing w:line="360" w:lineRule="auto"/>
      <w:ind w:firstLine="200" w:firstLineChars="200"/>
    </w:pPr>
    <w:rPr>
      <w:rFonts w:hAnsiTheme="minorHAnsi" w:eastAsiaTheme="minorEastAsia"/>
      <w:kern w:val="2"/>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174bce04-6ddf-48e7-b551-5eb8410be732</errorID>
      <errorWord>(</errorWord>
      <group>L1_Format</group>
      <groupName>格式问题</groupName>
      <ability>L2_HalfPunc_CN</ability>
      <abilityName>全半角问题</abilityName>
      <candidateList>
        <item>（</item>
      </candidateList>
      <explain>文本全半角错误。</explain>
      <paraID>5AB4FDE1</paraID>
      <start>29</start>
      <end>30</end>
      <status>unmodified</status>
      <modifiedWord/>
      <trackRevisions>false</trackRevisions>
    </reviewItem>
    <reviewItem>
      <errorID>3fc10457-2b6b-46d2-b32d-e342f03ae77a</errorID>
      <errorWord>)</errorWord>
      <group>L1_Format</group>
      <groupName>格式问题</groupName>
      <ability>L2_HalfPunc_CN</ability>
      <abilityName>全半角问题</abilityName>
      <candidateList>
        <item>）</item>
      </candidateList>
      <explain>文本全半角错误。</explain>
      <paraID>5AB4FDE1</paraID>
      <start>39</start>
      <end>40</end>
      <status>unmodified</status>
      <modifiedWord/>
      <trackRevisions>false</trackRevisions>
    </reviewItem>
    <reviewItem>
      <errorID>75dabe8c-3a50-4840-9ebd-85a5b0bd3c22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3D5047BC</paraID>
      <start>270</start>
      <end>271</end>
      <status>unmodified</status>
      <modifiedWord/>
      <trackRevisions>false</trackRevisions>
    </reviewItem>
    <reviewItem>
      <errorID>75ee55b6-937f-4603-a264-7c8d702aa182</errorID>
      <errorWord>提高</errorWord>
      <group>L1_Grammar</group>
      <groupName>语法问题</groupName>
      <ability>L2_Grammar</ability>
      <abilityName>语法错误</abilityName>
      <candidateList>
        <item>增强</item>
      </candidateList>
      <explain>“提高～意识”搭配不当，建议修改为“增强～意识”。</explain>
      <paraID>3D5047BC</paraID>
      <start>357</start>
      <end>359</end>
      <status>unmodified</status>
      <modifiedWord/>
      <trackRevisions>false</trackRevisions>
    </reviewItem>
    <reviewItem>
      <errorID>83d3db22-76b8-44fb-bbb9-850b6e6384d8</errorID>
      <errorWord>(</errorWord>
      <group>L1_Format</group>
      <groupName>格式问题</groupName>
      <ability>L2_HalfPunc_CN</ability>
      <abilityName>全半角问题</abilityName>
      <candidateList>
        <item>（</item>
      </candidateList>
      <explain>文本全半角错误。</explain>
      <paraID>7707DADE</paraID>
      <start>96</start>
      <end>97</end>
      <status>unmodified</status>
      <modifiedWord/>
      <trackRevisions>false</trackRevisions>
    </reviewItem>
    <reviewItem>
      <errorID>8b54a8a4-780c-4738-ba31-dbccbefc6818</errorID>
      <errorWord>)</errorWord>
      <group>L1_Format</group>
      <groupName>格式问题</groupName>
      <ability>L2_HalfPunc_CN</ability>
      <abilityName>全半角问题</abilityName>
      <candidateList>
        <item>）</item>
      </candidateList>
      <explain>文本全半角错误。</explain>
      <paraID>7707DADE</paraID>
      <start>109</start>
      <end>110</end>
      <status>unmodified</status>
      <modifiedWord/>
      <trackRevisions>false</trackRevisions>
    </reviewItem>
    <reviewItem>
      <errorID>80ce965e-0273-4802-9e1a-01130ee5e28a</errorID>
      <errorWord>总总</errorWord>
      <group>L1_Word</group>
      <groupName>字词问题</groupName>
      <ability>L2_Typo</ability>
      <abilityName>字词错误</abilityName>
      <candidateList>
        <item>总</item>
      </candidateList>
      <explain/>
      <paraID>7707DADE</paraID>
      <start>133</start>
      <end>135</end>
      <status>unmodified</status>
      <modifiedWord/>
      <trackRevisions>false</trackRevisions>
    </reviewItem>
    <reviewItem>
      <errorID>bcb1fd6e-f06b-4303-8297-a47d9147ff41</errorID>
      <errorWord>(</errorWord>
      <group>L1_Format</group>
      <groupName>格式问题</groupName>
      <ability>L2_HalfPunc_CN</ability>
      <abilityName>全半角问题</abilityName>
      <candidateList>
        <item>（</item>
      </candidateList>
      <explain>文本全半角错误。</explain>
      <paraID>7707DADE</paraID>
      <start>160</start>
      <end>161</end>
      <status>unmodified</status>
      <modifiedWord/>
      <trackRevisions>false</trackRevisions>
    </reviewItem>
    <reviewItem>
      <errorID>1cedd3a0-b54b-4f9d-8242-cca2dbb106a9</errorID>
      <errorWord>)</errorWord>
      <group>L1_Format</group>
      <groupName>格式问题</groupName>
      <ability>L2_HalfPunc_CN</ability>
      <abilityName>全半角问题</abilityName>
      <candidateList>
        <item>）</item>
      </candidateList>
      <explain>文本全半角错误。</explain>
      <paraID>7707DADE</paraID>
      <start>173</start>
      <end>174</end>
      <status>unmodified</status>
      <modifiedWord/>
      <trackRevisions>false</trackRevisions>
    </reviewItem>
    <reviewItem>
      <errorID>f4195c4d-495a-404f-a9ab-edc0e60dc906</errorID>
      <errorWord>(</errorWord>
      <group>L1_Format</group>
      <groupName>格式问题</groupName>
      <ability>L2_HalfPunc_CN</ability>
      <abilityName>全半角问题</abilityName>
      <candidateList>
        <item>（</item>
      </candidateList>
      <explain>文本全半角错误。</explain>
      <paraID>40169CC9</paraID>
      <start>151</start>
      <end>152</end>
      <status>unmodified</status>
      <modifiedWord/>
      <trackRevisions>false</trackRevisions>
    </reviewItem>
    <reviewItem>
      <errorID>c42bfd0f-c609-499c-a447-f514bf269d38</errorID>
      <errorWord>)</errorWord>
      <group>L1_Format</group>
      <groupName>格式问题</groupName>
      <ability>L2_HalfPunc_CN</ability>
      <abilityName>全半角问题</abilityName>
      <candidateList>
        <item>）</item>
      </candidateList>
      <explain>文本全半角错误。</explain>
      <paraID>40169CC9</paraID>
      <start>163</start>
      <end>164</end>
      <status>unmodified</status>
      <modifiedWord/>
      <trackRevisions>false</trackRevisions>
    </reviewItem>
    <reviewItem>
      <errorID>d3041895-fb67-4d8b-a378-9a68823cf9c2</errorID>
      <errorWord>无害化、减量化、资源化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词汇“减量化、资源化、无害化”在特定场景下为固定表述形式，请确认此处的“无害化、减量化、资源化”是否存在不当。</explain>
      <paraID> 2E15286</paraID>
      <start>16</start>
      <end>27</end>
      <status>unmodified</status>
      <modifiedWord/>
      <trackRevisions>false</trackRevisions>
    </reviewItem>
    <reviewItem>
      <errorID>a1adf3cc-5839-41e2-9eaf-0585cc05d32a</errorID>
      <errorWord>，</errorWord>
      <group>L1_Word</group>
      <groupName>字词问题</groupName>
      <ability>L2_Typo</ability>
      <abilityName>字词错误</abilityName>
      <candidateList>
        <item>，将</item>
      </candidateList>
      <explain/>
      <paraID> 2E15286</paraID>
      <start>102</start>
      <end>103</end>
      <status>unmodified</status>
      <modifiedWord/>
      <trackRevisions>false</trackRevisions>
    </reviewItem>
    <reviewItem>
      <errorID>3e756c06-a2af-4b1f-9a8e-3044e9489ba6</errorID>
      <errorWord>(</errorWord>
      <group>L1_Format</group>
      <groupName>格式问题</groupName>
      <ability>L2_HalfPunc_CN</ability>
      <abilityName>全半角问题</abilityName>
      <candidateList>
        <item>（</item>
      </candidateList>
      <explain>文本全半角错误。</explain>
      <paraID>5F7369FD</paraID>
      <start>91</start>
      <end>92</end>
      <status>unmodified</status>
      <modifiedWord/>
      <trackRevisions>false</trackRevisions>
    </reviewItem>
    <reviewItem>
      <errorID>3b9beece-6612-4f2d-8d17-605d10c2f0e8</errorID>
      <errorWord>)</errorWord>
      <group>L1_Format</group>
      <groupName>格式问题</groupName>
      <ability>L2_HalfPunc_CN</ability>
      <abilityName>全半角问题</abilityName>
      <candidateList>
        <item>）</item>
      </candidateList>
      <explain>文本全半角错误。</explain>
      <paraID>5F7369FD</paraID>
      <start>104</start>
      <end>105</end>
      <status>unmodified</status>
      <modifiedWord/>
      <trackRevisions>false</trackRevisions>
    </reviewItem>
  </reviewItems>
  <config/>
</contractReview>
</file>

<file path=customXml/itemProps1.xml><?xml version="1.0" encoding="utf-8"?>
<ds:datastoreItem xmlns:ds="http://schemas.openxmlformats.org/officeDocument/2006/customXml" ds:itemID="{85a547b6-f575-48ce-9c05-95c19654eca6}">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2313</Words>
  <Characters>2465</Characters>
  <Lines>19</Lines>
  <Paragraphs>5</Paragraphs>
  <TotalTime>41</TotalTime>
  <ScaleCrop>false</ScaleCrop>
  <LinksUpToDate>false</LinksUpToDate>
  <CharactersWithSpaces>2466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2024-01-22T18:29:00Z</dcterms:created>
  <dc:creator>admin</dc:creator>
  <cp:lastModifiedBy>曼施泰因</cp:lastModifiedBy>
  <cp:lastPrinted>2026-04-03T23:05:00Z</cp:lastPrinted>
  <dcterms:modified xsi:type="dcterms:W3CDTF">2026-09-04T02:03:55Z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eyJoZGlkIjoiMjdjODFhMDIzOWJhNmU0OGNjZTQ1NTdhYTE4ZjBjZDgiLCJ1c2VySWQiOiIyNzA0MDE4ODkifQ==</vt:lpwstr>
  </property>
  <property fmtid="{D5CDD505-2E9C-101B-9397-08002B2CF9AE}" pid="3" name="KSOProductBuildVer">
    <vt:lpwstr>2052-12.1.0.28505</vt:lpwstr>
  </property>
  <property fmtid="{D5CDD505-2E9C-101B-9397-08002B2CF9AE}" pid="4" name="ICV">
    <vt:lpwstr>321AF7387768431783AE1AD7F1F0E010_13</vt:lpwstr>
  </property>
</Properties>
</file>