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7380"/>
        </w:tabs>
        <w:kinsoku/>
        <w:wordWrap/>
        <w:overflowPunct/>
        <w:topLinePunct w:val="0"/>
        <w:autoSpaceDE/>
        <w:autoSpaceDN/>
        <w:bidi w:val="0"/>
        <w:adjustRightInd/>
        <w:snapToGrid/>
        <w:spacing w:line="560" w:lineRule="exact"/>
        <w:ind w:firstLine="5760" w:firstLineChars="1800"/>
        <w:textAlignment w:val="auto"/>
        <w:rPr>
          <w:rFonts w:hint="default" w:ascii="Times New Roman" w:hAnsi="Times New Roman" w:eastAsia="仿宋_GB2312" w:cs="Times New Roman"/>
          <w:bCs/>
          <w:sz w:val="32"/>
        </w:rPr>
      </w:pPr>
    </w:p>
    <w:p>
      <w:pPr>
        <w:keepNext w:val="0"/>
        <w:keepLines w:val="0"/>
        <w:pageBreakBefore w:val="0"/>
        <w:tabs>
          <w:tab w:val="left" w:pos="7380"/>
        </w:tabs>
        <w:kinsoku/>
        <w:wordWrap/>
        <w:overflowPunct/>
        <w:topLinePunct w:val="0"/>
        <w:autoSpaceDE/>
        <w:autoSpaceDN/>
        <w:bidi w:val="0"/>
        <w:adjustRightInd/>
        <w:snapToGrid/>
        <w:spacing w:line="560" w:lineRule="exact"/>
        <w:ind w:firstLine="5760" w:firstLineChars="1800"/>
        <w:textAlignment w:val="auto"/>
        <w:rPr>
          <w:rFonts w:hint="default" w:ascii="Times New Roman" w:hAnsi="Times New Roman" w:eastAsia="仿宋_GB2312" w:cs="Times New Roman"/>
          <w:bCs/>
          <w:sz w:val="32"/>
        </w:rPr>
      </w:pPr>
    </w:p>
    <w:p>
      <w:pPr>
        <w:keepNext w:val="0"/>
        <w:keepLines w:val="0"/>
        <w:pageBreakBefore w:val="0"/>
        <w:tabs>
          <w:tab w:val="left" w:pos="7380"/>
        </w:tabs>
        <w:kinsoku/>
        <w:wordWrap/>
        <w:overflowPunct/>
        <w:topLinePunct w:val="0"/>
        <w:autoSpaceDE/>
        <w:autoSpaceDN/>
        <w:bidi w:val="0"/>
        <w:adjustRightInd/>
        <w:snapToGrid/>
        <w:spacing w:line="560" w:lineRule="exact"/>
        <w:ind w:firstLine="5760" w:firstLineChars="1800"/>
        <w:textAlignment w:val="auto"/>
        <w:rPr>
          <w:rFonts w:hint="default" w:ascii="Times New Roman" w:hAnsi="Times New Roman" w:eastAsia="仿宋_GB2312" w:cs="Times New Roman"/>
          <w:bCs/>
          <w:color w:val="auto"/>
          <w:sz w:val="32"/>
        </w:rPr>
      </w:pPr>
      <w:r>
        <w:rPr>
          <w:rFonts w:hint="default" w:ascii="Times New Roman" w:hAnsi="Times New Roman" w:eastAsia="仿宋_GB2312" w:cs="Times New Roman"/>
          <w:bCs/>
          <w:sz w:val="32"/>
        </w:rPr>
        <w:t>常环</w:t>
      </w:r>
      <w:r>
        <w:rPr>
          <w:rFonts w:hint="default" w:ascii="Times New Roman" w:hAnsi="Times New Roman" w:eastAsia="仿宋_GB2312" w:cs="Times New Roman"/>
          <w:bCs/>
          <w:color w:val="auto"/>
          <w:sz w:val="32"/>
        </w:rPr>
        <w:t>建〔</w:t>
      </w:r>
      <w:r>
        <w:rPr>
          <w:rFonts w:hint="default" w:ascii="Times New Roman" w:hAnsi="Times New Roman" w:eastAsia="仿宋_GB2312" w:cs="Times New Roman"/>
          <w:bCs/>
          <w:color w:val="auto"/>
          <w:sz w:val="32"/>
          <w:highlight w:val="none"/>
        </w:rPr>
        <w:t>202</w:t>
      </w:r>
      <w:r>
        <w:rPr>
          <w:rFonts w:hint="default" w:ascii="Times New Roman" w:hAnsi="Times New Roman" w:eastAsia="仿宋_GB2312" w:cs="Times New Roman"/>
          <w:bCs/>
          <w:color w:val="auto"/>
          <w:sz w:val="32"/>
          <w:highlight w:val="none"/>
          <w:lang w:val="en-US" w:eastAsia="zh-CN"/>
        </w:rPr>
        <w:t>6</w:t>
      </w:r>
      <w:r>
        <w:rPr>
          <w:rFonts w:hint="default" w:ascii="Times New Roman" w:hAnsi="Times New Roman" w:eastAsia="仿宋_GB2312" w:cs="Times New Roman"/>
          <w:bCs/>
          <w:color w:val="auto"/>
          <w:sz w:val="32"/>
        </w:rPr>
        <w:t>〕</w:t>
      </w:r>
      <w:r>
        <w:rPr>
          <w:rFonts w:hint="eastAsia" w:ascii="Times New Roman" w:hAnsi="Times New Roman" w:eastAsia="仿宋_GB2312" w:cs="Times New Roman"/>
          <w:bCs/>
          <w:color w:val="auto"/>
          <w:sz w:val="32"/>
          <w:lang w:val="en-US" w:eastAsia="zh-CN"/>
        </w:rPr>
        <w:t>40</w:t>
      </w:r>
      <w:r>
        <w:rPr>
          <w:rFonts w:hint="default" w:ascii="Times New Roman" w:hAnsi="Times New Roman" w:eastAsia="仿宋_GB2312" w:cs="Times New Roman"/>
          <w:bCs/>
          <w:color w:val="auto"/>
          <w:sz w:val="32"/>
        </w:rPr>
        <w:t>号</w:t>
      </w:r>
    </w:p>
    <w:p>
      <w:pPr>
        <w:keepNext w:val="0"/>
        <w:keepLines w:val="0"/>
        <w:pageBreakBefore w:val="0"/>
        <w:tabs>
          <w:tab w:val="left" w:pos="7380"/>
        </w:tabs>
        <w:kinsoku/>
        <w:wordWrap/>
        <w:overflowPunct/>
        <w:topLinePunct w:val="0"/>
        <w:autoSpaceDE/>
        <w:autoSpaceDN/>
        <w:bidi w:val="0"/>
        <w:adjustRightInd/>
        <w:snapToGrid/>
        <w:spacing w:line="560" w:lineRule="exact"/>
        <w:ind w:firstLine="5120" w:firstLineChars="1600"/>
        <w:textAlignment w:val="auto"/>
        <w:rPr>
          <w:rFonts w:hint="default" w:ascii="Times New Roman" w:hAnsi="Times New Roman" w:eastAsia="楷体_GB2312" w:cs="Times New Roman"/>
          <w:bCs/>
          <w:color w:val="auto"/>
          <w:sz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常德市生态环境局</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关于</w:t>
      </w:r>
      <w:r>
        <w:rPr>
          <w:rFonts w:hint="default" w:ascii="Times New Roman" w:hAnsi="Times New Roman" w:eastAsia="方正小标宋简体" w:cs="Times New Roman"/>
          <w:bCs/>
          <w:color w:val="auto"/>
          <w:sz w:val="44"/>
          <w:szCs w:val="44"/>
          <w:lang w:eastAsia="zh-CN"/>
        </w:rPr>
        <w:t>常德</w:t>
      </w:r>
      <w:r>
        <w:rPr>
          <w:rFonts w:hint="default" w:ascii="Times New Roman" w:hAnsi="Times New Roman" w:eastAsia="方正小标宋简体" w:cs="Times New Roman"/>
          <w:bCs/>
          <w:color w:val="auto"/>
          <w:sz w:val="44"/>
          <w:szCs w:val="44"/>
          <w:lang w:val="en-US" w:eastAsia="zh-CN"/>
        </w:rPr>
        <w:t>经开区</w:t>
      </w:r>
      <w:r>
        <w:rPr>
          <w:rFonts w:hint="default" w:ascii="Times New Roman" w:hAnsi="Times New Roman" w:eastAsia="方正小标宋简体" w:cs="Times New Roman"/>
          <w:bCs/>
          <w:color w:val="auto"/>
          <w:sz w:val="44"/>
          <w:szCs w:val="44"/>
          <w:lang w:eastAsia="zh-CN"/>
        </w:rPr>
        <w:t>合成生物制造产业园（一期）项目（暨公辅配套设施建设工程）</w:t>
      </w:r>
      <w:r>
        <w:rPr>
          <w:rFonts w:hint="default" w:ascii="Times New Roman" w:hAnsi="Times New Roman" w:eastAsia="方正小标宋简体" w:cs="Times New Roman"/>
          <w:bCs/>
          <w:color w:val="auto"/>
          <w:sz w:val="44"/>
          <w:szCs w:val="44"/>
        </w:rPr>
        <w:t>环境影响报告书的批复</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Cs/>
          <w:sz w:val="44"/>
          <w:szCs w:val="44"/>
        </w:rPr>
      </w:pPr>
      <w:bookmarkStart w:id="0" w:name="_GoBack"/>
      <w:bookmarkEnd w:id="0"/>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lang w:val="en-US" w:eastAsia="zh-CN"/>
        </w:rPr>
        <w:t>常德德润产业发展有限公司</w:t>
      </w:r>
      <w:r>
        <w:rPr>
          <w:rFonts w:hint="default" w:ascii="Times New Roman" w:hAnsi="Times New Roman" w:eastAsia="仿宋_GB2312" w:cs="Times New Roman"/>
          <w:sz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你公司提交的《常德经开区合成生物制造产业园（一期）项目（暨公辅配套设施建设工程）环境影响报告书》（以下简称《报告书》）和《关于申请对〈常德经开区合成生物制造产业园（一期）项目（暨公辅配套设施建设工程）环境影响报告书〉进行审批的请示》及相关资料收悉，根据常德市生态环境事务中心“常环评估〔2026〕9号”技术评估报告、常德市生态环境局经开区分局出具的《初审意见》等有关材料，结合《报告书》受理后在网上公示期间未收到反馈意见的情况，经研究，现批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rPr>
        <w:t>项目位于常德经济技术开发区</w:t>
      </w:r>
      <w:r>
        <w:rPr>
          <w:rFonts w:hint="default" w:ascii="Times New Roman" w:hAnsi="Times New Roman" w:eastAsia="仿宋_GB2312" w:cs="Times New Roman"/>
          <w:sz w:val="32"/>
          <w:szCs w:val="32"/>
          <w:lang w:val="en-US" w:eastAsia="zh-CN"/>
        </w:rPr>
        <w:t>常德经开区合成生物中试基地以南，莲子塘路以西，厂区地理中心坐标为东经：111°42′37.134″，北纬：28°54′21.344″。工程占</w:t>
      </w:r>
      <w:r>
        <w:rPr>
          <w:rFonts w:hint="default" w:ascii="Times New Roman" w:hAnsi="Times New Roman" w:eastAsia="仿宋_GB2312" w:cs="Times New Roman"/>
          <w:sz w:val="32"/>
          <w:szCs w:val="32"/>
        </w:rPr>
        <w:t>地面积约</w:t>
      </w:r>
      <w:r>
        <w:rPr>
          <w:rFonts w:hint="default" w:ascii="Times New Roman" w:hAnsi="Times New Roman" w:eastAsia="仿宋_GB2312" w:cs="Times New Roman"/>
          <w:sz w:val="32"/>
          <w:szCs w:val="32"/>
          <w:lang w:val="en-US" w:eastAsia="zh-CN"/>
        </w:rPr>
        <w:t>46733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55</w:t>
      </w:r>
      <w:r>
        <w:rPr>
          <w:rFonts w:hint="default" w:ascii="Times New Roman" w:hAnsi="Times New Roman" w:eastAsia="仿宋_GB2312" w:cs="Times New Roman"/>
          <w:sz w:val="32"/>
          <w:szCs w:val="32"/>
        </w:rPr>
        <w:t>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建筑面积36778.74</w:t>
      </w:r>
      <w:r>
        <w:rPr>
          <w:rFonts w:hint="default" w:ascii="Times New Roman" w:hAnsi="Times New Roman" w:eastAsia="仿宋_GB2312" w:cs="Times New Roman"/>
          <w:sz w:val="32"/>
          <w:szCs w:val="32"/>
        </w:rPr>
        <w:t>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color w:val="0000FF"/>
          <w:sz w:val="32"/>
          <w:szCs w:val="32"/>
        </w:rPr>
        <w:t>，</w:t>
      </w:r>
      <w:r>
        <w:rPr>
          <w:rFonts w:hint="default" w:ascii="Times New Roman" w:hAnsi="Times New Roman" w:eastAsia="仿宋_GB2312" w:cs="Times New Roman"/>
          <w:sz w:val="32"/>
          <w:szCs w:val="32"/>
        </w:rPr>
        <w:t>建设内容</w:t>
      </w:r>
      <w:r>
        <w:rPr>
          <w:rFonts w:hint="default" w:ascii="Times New Roman" w:hAnsi="Times New Roman" w:eastAsia="仿宋_GB2312" w:cs="Times New Roman"/>
          <w:sz w:val="32"/>
          <w:szCs w:val="32"/>
          <w:lang w:val="en-US" w:eastAsia="zh-CN"/>
        </w:rPr>
        <w:t>主要包括4栋工业厂房、1栋仓库</w:t>
      </w:r>
      <w:r>
        <w:rPr>
          <w:rFonts w:hint="default" w:ascii="Times New Roman" w:hAnsi="Times New Roman" w:eastAsia="仿宋_GB2312" w:cs="Times New Roman"/>
          <w:color w:val="auto"/>
          <w:sz w:val="32"/>
          <w:szCs w:val="32"/>
          <w:lang w:val="en-US" w:eastAsia="zh-CN"/>
        </w:rPr>
        <w:t>、污水处理设施、甲类罐区</w:t>
      </w:r>
      <w:r>
        <w:rPr>
          <w:rFonts w:hint="default" w:ascii="Times New Roman" w:hAnsi="Times New Roman" w:eastAsia="仿宋_GB2312" w:cs="Times New Roman"/>
          <w:color w:val="auto"/>
          <w:sz w:val="32"/>
          <w:szCs w:val="32"/>
          <w:highlight w:val="none"/>
          <w:lang w:val="en-US" w:eastAsia="zh-CN"/>
        </w:rPr>
        <w:t>（仅做地面防腐防渗，远期预留）</w:t>
      </w:r>
      <w:r>
        <w:rPr>
          <w:rFonts w:hint="default" w:ascii="Times New Roman" w:hAnsi="Times New Roman" w:eastAsia="仿宋_GB2312" w:cs="Times New Roman"/>
          <w:color w:val="auto"/>
          <w:sz w:val="32"/>
          <w:szCs w:val="32"/>
          <w:lang w:val="en-US" w:eastAsia="zh-CN"/>
        </w:rPr>
        <w:t>，以及道路、供配电、给排水等配套设施</w:t>
      </w:r>
      <w:r>
        <w:rPr>
          <w:rFonts w:hint="default" w:ascii="Times New Roman" w:hAnsi="Times New Roman" w:eastAsia="仿宋_GB2312" w:cs="Times New Roman"/>
          <w:color w:val="auto"/>
          <w:sz w:val="32"/>
          <w:szCs w:val="32"/>
          <w:shd w:val="clear" w:color="auto" w:fill="auto"/>
        </w:rPr>
        <w:t>。项目总投资</w:t>
      </w:r>
      <w:r>
        <w:rPr>
          <w:rFonts w:hint="default" w:ascii="Times New Roman" w:hAnsi="Times New Roman" w:eastAsia="仿宋_GB2312" w:cs="Times New Roman"/>
          <w:color w:val="auto"/>
          <w:sz w:val="32"/>
          <w:szCs w:val="32"/>
          <w:shd w:val="clear" w:color="auto" w:fill="auto"/>
          <w:lang w:val="en-US" w:eastAsia="zh-CN"/>
        </w:rPr>
        <w:t>18564.46万元</w:t>
      </w:r>
      <w:r>
        <w:rPr>
          <w:rFonts w:hint="default" w:ascii="Times New Roman" w:hAnsi="Times New Roman" w:eastAsia="仿宋_GB2312" w:cs="Times New Roman"/>
          <w:color w:val="auto"/>
          <w:sz w:val="32"/>
          <w:szCs w:val="32"/>
          <w:shd w:val="clear" w:color="auto" w:fill="auto"/>
        </w:rPr>
        <w:t>，其中环保投资</w:t>
      </w:r>
      <w:r>
        <w:rPr>
          <w:rFonts w:hint="default" w:ascii="Times New Roman" w:hAnsi="Times New Roman" w:eastAsia="仿宋_GB2312" w:cs="Times New Roman"/>
          <w:color w:val="auto"/>
          <w:sz w:val="32"/>
          <w:szCs w:val="32"/>
          <w:shd w:val="clear" w:color="auto" w:fill="auto"/>
          <w:lang w:val="en-US" w:eastAsia="zh-CN"/>
        </w:rPr>
        <w:t>2367</w:t>
      </w:r>
      <w:r>
        <w:rPr>
          <w:rFonts w:hint="default" w:ascii="Times New Roman" w:hAnsi="Times New Roman" w:eastAsia="仿宋_GB2312" w:cs="Times New Roman"/>
          <w:color w:val="auto"/>
          <w:sz w:val="32"/>
          <w:szCs w:val="32"/>
          <w:shd w:val="clear" w:color="auto" w:fill="auto"/>
        </w:rPr>
        <w:t>万元，占投资总额的</w:t>
      </w:r>
      <w:r>
        <w:rPr>
          <w:rFonts w:hint="default" w:ascii="Times New Roman" w:hAnsi="Times New Roman" w:eastAsia="仿宋_GB2312" w:cs="Times New Roman"/>
          <w:color w:val="auto"/>
          <w:sz w:val="32"/>
          <w:szCs w:val="32"/>
          <w:shd w:val="clear" w:color="auto" w:fill="auto"/>
          <w:lang w:val="en-US" w:eastAsia="zh-CN"/>
        </w:rPr>
        <w:t>12.8</w:t>
      </w:r>
      <w:r>
        <w:rPr>
          <w:rFonts w:hint="default" w:ascii="Times New Roman" w:hAnsi="Times New Roman" w:eastAsia="仿宋_GB2312" w:cs="Times New Roman"/>
          <w:color w:val="auto"/>
          <w:sz w:val="32"/>
          <w:szCs w:val="32"/>
          <w:shd w:val="clear" w:color="auto" w:fill="auto"/>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sz w:val="32"/>
          <w:szCs w:val="32"/>
          <w:shd w:val="solid" w:color="4BACC6" w:fill="FFFFFF"/>
        </w:rPr>
      </w:pPr>
      <w:r>
        <w:rPr>
          <w:rFonts w:hint="default" w:ascii="Times New Roman" w:hAnsi="Times New Roman" w:eastAsia="仿宋_GB2312" w:cs="Times New Roman"/>
          <w:sz w:val="32"/>
          <w:szCs w:val="32"/>
        </w:rPr>
        <w:t>根据《报告书》结论，以及常德经济技术开发区管理委员会出具的《关于产业布局调整工作情况的说明》，园区应加快开展产业布局调整和调整后的规划环评工作，</w:t>
      </w:r>
      <w:r>
        <w:rPr>
          <w:rFonts w:hint="default" w:ascii="Times New Roman" w:hAnsi="Times New Roman" w:eastAsia="仿宋_GB2312" w:cs="Times New Roman"/>
          <w:sz w:val="32"/>
          <w:szCs w:val="32"/>
          <w:shd w:val="clear" w:color="auto" w:fill="auto"/>
          <w:lang w:val="en-US" w:eastAsia="zh-CN"/>
        </w:rPr>
        <w:t>确保常德经开区合成生物制造产业园（一期）项目及其内招商引资项目符合园区规划及规划环评要求，产业园内新</w:t>
      </w:r>
      <w:r>
        <w:rPr>
          <w:rFonts w:hint="default" w:ascii="Times New Roman" w:hAnsi="Times New Roman" w:eastAsia="仿宋_GB2312" w:cs="Times New Roman"/>
          <w:sz w:val="32"/>
          <w:szCs w:val="32"/>
        </w:rPr>
        <w:t>引进项目应该依法进行环境影响评价与审批程序。在建设单位切实落实《报告书》提出的各项污染防治措施、环境风险防范措施、</w:t>
      </w:r>
      <w:r>
        <w:rPr>
          <w:rFonts w:hint="default" w:ascii="Times New Roman" w:hAnsi="Times New Roman" w:eastAsia="仿宋_GB2312" w:cs="Times New Roman"/>
          <w:color w:val="000000"/>
          <w:sz w:val="32"/>
          <w:szCs w:val="32"/>
          <w:lang w:eastAsia="zh-CN"/>
        </w:rPr>
        <w:t>污染物稳定达标排放</w:t>
      </w:r>
      <w:r>
        <w:rPr>
          <w:rFonts w:hint="default" w:ascii="Times New Roman" w:hAnsi="Times New Roman" w:eastAsia="仿宋_GB2312" w:cs="Times New Roman"/>
          <w:sz w:val="32"/>
          <w:szCs w:val="32"/>
        </w:rPr>
        <w:t>的前提下，从环境保护角度分析，项目建设可行。</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建设单位在工程设计、建设和运营管理过程中，必须全面落实《报告书》提出的各项污染防治措施，并着重做好如下工作: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kern w:val="2"/>
          <w:sz w:val="32"/>
          <w:szCs w:val="32"/>
        </w:rPr>
        <w:t>（一）加强施工期的环境管理。采取各种有效措施，</w:t>
      </w:r>
      <w:r>
        <w:rPr>
          <w:rFonts w:hint="eastAsia" w:ascii="Times New Roman" w:hAnsi="Times New Roman" w:eastAsia="仿宋_GB2312" w:cs="Times New Roman"/>
          <w:kern w:val="2"/>
          <w:sz w:val="32"/>
          <w:szCs w:val="32"/>
          <w:lang w:eastAsia="zh-CN"/>
        </w:rPr>
        <w:t>防止</w:t>
      </w:r>
      <w:r>
        <w:rPr>
          <w:rFonts w:hint="default" w:ascii="Times New Roman" w:hAnsi="Times New Roman" w:eastAsia="仿宋_GB2312" w:cs="Times New Roman"/>
          <w:kern w:val="2"/>
          <w:sz w:val="32"/>
          <w:szCs w:val="32"/>
        </w:rPr>
        <w:t>施工废水、废气、噪声及扬尘对周边环境造成不利影响，妥善处置施工固体废物，尽量减少对生态环境的扰动</w:t>
      </w:r>
      <w:r>
        <w:rPr>
          <w:rFonts w:hint="eastAsia" w:ascii="Times New Roman" w:hAnsi="Times New Roman" w:eastAsia="仿宋_GB2312" w:cs="Times New Roman"/>
          <w:kern w:val="2"/>
          <w:sz w:val="32"/>
          <w:szCs w:val="32"/>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kern w:val="2"/>
          <w:sz w:val="32"/>
          <w:szCs w:val="32"/>
        </w:rPr>
        <w:t>（二）严格落实水污染防治措施。严格按照雨污分流、清</w:t>
      </w:r>
      <w:r>
        <w:rPr>
          <w:rFonts w:hint="default" w:ascii="Times New Roman" w:hAnsi="Times New Roman" w:eastAsia="仿宋_GB2312" w:cs="Times New Roman"/>
          <w:sz w:val="32"/>
          <w:szCs w:val="32"/>
          <w:lang w:val="en-US" w:eastAsia="zh-CN"/>
        </w:rPr>
        <w:t>污分流、污污分流的原则，建设完善的给排水、污水处理系统。项目共设置1个污水总排口，2个雨水排口（雨水排口和中试基地共用）。各车间生产废水经架空管输送至污水站集水池，与进入调节池的污水站废气处理系统排水、初期雨水，一并经污水站处理达标后，经污水总排口排放至德山污水处理厂深度处理。动力中心循环冷却排水与经化粪池处理的生活废水，经污水总排口排放至德山污水处理厂深度处理。污水站设计规模2000m³/d，处理工艺为“调节+混凝+微电解（预留高级氧化工艺）+水解酸化+UASB+二级A/O+二沉”，共设置六个集水池，分别对应车间二（1#、2#集水池）、车间三（3#集水池）、车间四（4#集水池）、车间五（5#、6#集水池）收集车间生产废水，集水池内分别设置在线监测，进水水质需满足污水站设计进水水质。拟引进项目的废水不满足污水站进水水质要求的情况下，需单独设置处理设施，经预处理后满足污水站设计进水水质要求后方可排入。项目所有外排废水需满足《污水综合排放标准》(GB8978-1996)中三级排放标准及德山污水处理厂进水水质标准</w:t>
      </w:r>
      <w:r>
        <w:rPr>
          <w:rFonts w:hint="eastAsia"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严格落实大气污染防治措施。加强污水站恶臭污染控制，对调节池、初沉池、集水池、水解酸化池、二级A/O池、二沉池、污泥浓缩池、危废间等单元废气进行密闭负压收集，经“碱液喷淋+生物净化”处理后，通过15m 排气筒（DA001）排放。沼气脱硫后经6m火炬点燃后排放。</w:t>
      </w:r>
      <w:r>
        <w:rPr>
          <w:rFonts w:hint="eastAsia" w:ascii="Times New Roman" w:hAnsi="Times New Roman" w:eastAsia="仿宋_GB2312" w:cs="Times New Roman"/>
          <w:sz w:val="32"/>
          <w:szCs w:val="32"/>
          <w:lang w:val="en-US" w:eastAsia="zh-CN"/>
        </w:rPr>
        <w:t>污水站浓硫酸储罐通过碱封控制无组织排放。</w:t>
      </w:r>
      <w:r>
        <w:rPr>
          <w:rFonts w:hint="default" w:ascii="Times New Roman" w:hAnsi="Times New Roman" w:eastAsia="仿宋_GB2312" w:cs="Times New Roman"/>
          <w:sz w:val="32"/>
          <w:szCs w:val="32"/>
          <w:lang w:val="en-US" w:eastAsia="zh-CN"/>
        </w:rPr>
        <w:t>依</w:t>
      </w:r>
      <w:r>
        <w:rPr>
          <w:rFonts w:hint="default" w:ascii="Times New Roman" w:hAnsi="Times New Roman" w:eastAsia="仿宋_GB2312" w:cs="Times New Roman"/>
          <w:sz w:val="32"/>
          <w:szCs w:val="32"/>
        </w:rPr>
        <w:t>据《报告书》，项目厂界外100m设置为环境防护距离，防护距离</w:t>
      </w:r>
      <w:r>
        <w:rPr>
          <w:rFonts w:hint="default" w:ascii="Times New Roman" w:hAnsi="Times New Roman" w:eastAsia="仿宋_GB2312" w:cs="Times New Roman"/>
          <w:sz w:val="32"/>
          <w:szCs w:val="32"/>
          <w:lang w:eastAsia="zh-CN"/>
        </w:rPr>
        <w:t>内</w:t>
      </w:r>
      <w:r>
        <w:rPr>
          <w:rFonts w:hint="default" w:ascii="Times New Roman" w:hAnsi="Times New Roman" w:eastAsia="仿宋_GB2312" w:cs="Times New Roman"/>
          <w:sz w:val="32"/>
          <w:szCs w:val="32"/>
        </w:rPr>
        <w:t>不得新建居民住宅、学校、医院等环境敏感项目。</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有组织污染物排放执行标准:氨、硫化氢、臭气浓度执行《恶臭污染物排放标准》（GB14554-93）</w:t>
      </w:r>
      <w:r>
        <w:rPr>
          <w:rFonts w:hint="eastAsia" w:ascii="Times New Roman" w:hAnsi="Times New Roman" w:eastAsia="仿宋_GB2312" w:cs="Times New Roman"/>
          <w:sz w:val="32"/>
          <w:szCs w:val="32"/>
          <w:lang w:val="en-US" w:eastAsia="zh-CN"/>
        </w:rPr>
        <w:t>表2</w:t>
      </w:r>
      <w:r>
        <w:rPr>
          <w:rFonts w:hint="default" w:ascii="Times New Roman" w:hAnsi="Times New Roman" w:eastAsia="仿宋_GB2312" w:cs="Times New Roman"/>
          <w:sz w:val="32"/>
          <w:szCs w:val="32"/>
        </w:rPr>
        <w:t>中相应限值；厂界无组织污染物排放执行标准：氨、硫化氢、臭气浓度执行《恶臭污染物排放标准》（GB14554-93）</w:t>
      </w:r>
      <w:r>
        <w:rPr>
          <w:rFonts w:hint="eastAsia" w:ascii="Times New Roman" w:hAnsi="Times New Roman" w:eastAsia="仿宋_GB2312" w:cs="Times New Roman"/>
          <w:sz w:val="32"/>
          <w:szCs w:val="32"/>
          <w:lang w:val="en-US" w:eastAsia="zh-CN"/>
        </w:rPr>
        <w:t>表1</w:t>
      </w:r>
      <w:r>
        <w:rPr>
          <w:rFonts w:hint="default" w:ascii="Times New Roman" w:hAnsi="Times New Roman" w:eastAsia="仿宋_GB2312" w:cs="Times New Roman"/>
          <w:sz w:val="32"/>
          <w:szCs w:val="32"/>
          <w:lang w:val="en-US" w:eastAsia="zh-CN"/>
        </w:rPr>
        <w:t>中</w:t>
      </w:r>
      <w:r>
        <w:rPr>
          <w:rFonts w:hint="default" w:ascii="Times New Roman" w:hAnsi="Times New Roman" w:eastAsia="仿宋_GB2312" w:cs="Times New Roman"/>
          <w:sz w:val="32"/>
          <w:szCs w:val="32"/>
        </w:rPr>
        <w:t>相应限值，</w:t>
      </w:r>
      <w:r>
        <w:rPr>
          <w:rFonts w:hint="default" w:ascii="Times New Roman" w:hAnsi="Times New Roman" w:eastAsia="仿宋_GB2312" w:cs="Times New Roman"/>
          <w:kern w:val="2"/>
          <w:sz w:val="32"/>
          <w:szCs w:val="32"/>
          <w:lang w:val="en-US" w:eastAsia="zh-CN" w:bidi="ar-SA"/>
        </w:rPr>
        <w:t>硫酸雾执行《大气污染物综合排放标准》（GB16297-1996）表 2 中无组织排放限值。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2"/>
          <w:sz w:val="32"/>
          <w:szCs w:val="32"/>
        </w:rPr>
        <w:t>严格落实噪声污染防治措施</w:t>
      </w:r>
      <w:r>
        <w:rPr>
          <w:rFonts w:hint="default" w:ascii="Times New Roman" w:hAnsi="Times New Roman" w:eastAsia="仿宋_GB2312" w:cs="Times New Roman"/>
          <w:sz w:val="32"/>
          <w:szCs w:val="32"/>
        </w:rPr>
        <w:t>。优化设备选型和平面布置，落实噪声污染防治措施。选用低噪声设备，采取有效的隔声降噪措施，并加强设备的维护保养，确保厂界环境噪声达到《工业企业厂界环境噪声排放标准》（GB12348-2008）限值标准。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FF0000"/>
          <w:kern w:val="2"/>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2"/>
          <w:sz w:val="32"/>
          <w:szCs w:val="32"/>
        </w:rPr>
        <w:t>严格落实固体废物收集和处置措施</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kern w:val="2"/>
          <w:sz w:val="32"/>
          <w:szCs w:val="32"/>
          <w:lang w:val="en-US" w:eastAsia="zh-CN"/>
        </w:rPr>
        <w:t>遵循“减量化、资源化、无害化”原则，一般</w:t>
      </w:r>
      <w:r>
        <w:rPr>
          <w:rFonts w:hint="default" w:ascii="Times New Roman" w:hAnsi="Times New Roman" w:eastAsia="仿宋_GB2312" w:cs="Times New Roman"/>
          <w:color w:val="auto"/>
          <w:kern w:val="2"/>
          <w:sz w:val="32"/>
          <w:szCs w:val="32"/>
        </w:rPr>
        <w:t>固体废物的收集、暂存及转移符合《一般工业固体废物贮存和填埋污染控制标准》（GB18599-2020）要求</w:t>
      </w:r>
      <w:r>
        <w:rPr>
          <w:rFonts w:hint="default" w:ascii="Times New Roman" w:hAnsi="Times New Roman" w:eastAsia="仿宋_GB2312" w:cs="Times New Roman"/>
          <w:color w:val="auto"/>
          <w:kern w:val="2"/>
          <w:sz w:val="32"/>
          <w:szCs w:val="32"/>
          <w:lang w:eastAsia="zh-CN"/>
        </w:rPr>
        <w:t>，</w:t>
      </w:r>
      <w:r>
        <w:rPr>
          <w:rFonts w:hint="default" w:ascii="Times New Roman" w:hAnsi="Times New Roman" w:eastAsia="仿宋_GB2312" w:cs="Times New Roman"/>
          <w:color w:val="auto"/>
          <w:kern w:val="2"/>
          <w:sz w:val="32"/>
          <w:szCs w:val="32"/>
          <w:lang w:val="en-US" w:eastAsia="zh-CN"/>
        </w:rPr>
        <w:t>危险废物的收集、暂存及转移符合《危险废物贮存污染物控制标准》（GB18597-2023）要求，防止二次污染。固体废物委托他人运输、利用、处置的，应当对受委托方的主体资格和技术能力进行核实，依法签订书面合同，在合同中约定污染防治要求</w:t>
      </w:r>
      <w:r>
        <w:rPr>
          <w:rFonts w:hint="default" w:ascii="Times New Roman" w:hAnsi="Times New Roman" w:eastAsia="仿宋_GB2312" w:cs="Times New Roman"/>
          <w:color w:val="auto"/>
          <w:kern w:val="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)严格落实土壤和地下水污染防治措施。按《报告书》</w:t>
      </w:r>
      <w:r>
        <w:rPr>
          <w:rFonts w:hint="default" w:ascii="Times New Roman" w:hAnsi="Times New Roman" w:eastAsia="仿宋_GB2312" w:cs="Times New Roman"/>
          <w:snapToGrid w:val="0"/>
          <w:color w:val="000000"/>
          <w:sz w:val="32"/>
          <w:szCs w:val="32"/>
          <w:lang w:val="en-US" w:eastAsia="zh-CN" w:bidi="ar-SA"/>
        </w:rPr>
        <w:t>分区防渗要求做好厂区所有涉污场地防渗，防止污染土壤和地下水。</w:t>
      </w:r>
      <w:r>
        <w:rPr>
          <w:rFonts w:hint="default" w:ascii="Times New Roman" w:hAnsi="Times New Roman" w:eastAsia="仿宋_GB2312" w:cs="Times New Roman"/>
          <w:sz w:val="32"/>
          <w:szCs w:val="32"/>
        </w:rPr>
        <w:t>制定突发环境事件应急预案，完善应急物资，</w:t>
      </w:r>
      <w:r>
        <w:rPr>
          <w:rFonts w:hint="default" w:ascii="Times New Roman" w:hAnsi="Times New Roman" w:eastAsia="仿宋_GB2312" w:cs="Times New Roman"/>
          <w:snapToGrid w:val="0"/>
          <w:color w:val="000000"/>
          <w:sz w:val="32"/>
          <w:szCs w:val="32"/>
          <w:lang w:val="en-US" w:eastAsia="zh-CN" w:bidi="ar-SA"/>
        </w:rPr>
        <w:t>强化围堰、导流沟设置,合理</w:t>
      </w:r>
      <w:r>
        <w:rPr>
          <w:rFonts w:hint="default" w:ascii="Times New Roman" w:hAnsi="Times New Roman" w:eastAsia="仿宋_GB2312" w:cs="Times New Roman"/>
          <w:sz w:val="32"/>
          <w:szCs w:val="32"/>
        </w:rPr>
        <w:t>设置满足容积的事故应急池、消防水池和初期雨水池，事故废水应急收集池在非事故时处于空置状态，建立事故废水三级防控体系，强化事故废水收集、废气应急处理等措施，确保发生设备故障或生产事故时所产生的废水、废气等得到有效控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(七)强化各项环境风险防范措施。</w:t>
      </w:r>
      <w:r>
        <w:rPr>
          <w:rFonts w:hint="default" w:ascii="Times New Roman" w:hAnsi="Times New Roman" w:eastAsia="仿宋_GB2312" w:cs="Times New Roman"/>
          <w:kern w:val="2"/>
          <w:sz w:val="32"/>
          <w:szCs w:val="32"/>
        </w:rPr>
        <w:t>严格落实《报告书》提出的各项环境事故风险防范措施，严防环境风险事故发生。按照《湖南省突发环境事故应急预案管理办法（修订版）》落实应急预案管理要求。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(八)严格落实施工期和运营期环境监测计划。按照相关标准、规定要求，规范排污口设置，定期开展排放监测和环境质量监测,建立污染源台账制度,开展长期监测并保存原始监测记录。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四、严格落实总量控制要求。根据《报告书》核定项目总量控制指标：化学需氧量≤</w:t>
      </w:r>
      <w:r>
        <w:rPr>
          <w:rFonts w:hint="default" w:ascii="Times New Roman" w:hAnsi="Times New Roman" w:eastAsia="仿宋_GB2312" w:cs="Times New Roman"/>
          <w:kern w:val="2"/>
          <w:sz w:val="32"/>
          <w:szCs w:val="32"/>
          <w:lang w:val="en-US" w:eastAsia="zh-CN"/>
        </w:rPr>
        <w:t>33</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84</w:t>
      </w:r>
      <w:r>
        <w:rPr>
          <w:rFonts w:hint="default" w:ascii="Times New Roman" w:hAnsi="Times New Roman" w:eastAsia="仿宋_GB2312" w:cs="Times New Roman"/>
          <w:kern w:val="2"/>
          <w:sz w:val="32"/>
          <w:szCs w:val="32"/>
        </w:rPr>
        <w:t>吨/年，氨氮≤</w:t>
      </w:r>
      <w:r>
        <w:rPr>
          <w:rFonts w:hint="default" w:ascii="Times New Roman" w:hAnsi="Times New Roman" w:eastAsia="仿宋_GB2312" w:cs="Times New Roman"/>
          <w:kern w:val="2"/>
          <w:sz w:val="32"/>
          <w:szCs w:val="32"/>
          <w:lang w:val="en-US" w:eastAsia="zh-CN"/>
        </w:rPr>
        <w:t>5.42</w:t>
      </w:r>
      <w:r>
        <w:rPr>
          <w:rFonts w:hint="default" w:ascii="Times New Roman" w:hAnsi="Times New Roman" w:eastAsia="仿宋_GB2312" w:cs="Times New Roman"/>
          <w:kern w:val="2"/>
          <w:sz w:val="32"/>
          <w:szCs w:val="32"/>
        </w:rPr>
        <w:t>吨/年，</w:t>
      </w:r>
      <w:r>
        <w:rPr>
          <w:rFonts w:hint="default" w:ascii="Times New Roman" w:hAnsi="Times New Roman" w:eastAsia="仿宋_GB2312" w:cs="Times New Roman"/>
          <w:kern w:val="2"/>
          <w:sz w:val="32"/>
          <w:szCs w:val="32"/>
          <w:lang w:val="en-US" w:eastAsia="zh-CN"/>
        </w:rPr>
        <w:t>总磷</w:t>
      </w:r>
      <w:r>
        <w:rPr>
          <w:rFonts w:hint="default" w:ascii="Times New Roman" w:hAnsi="Times New Roman" w:eastAsia="仿宋_GB2312" w:cs="Times New Roman"/>
          <w:kern w:val="2"/>
          <w:sz w:val="32"/>
          <w:szCs w:val="32"/>
        </w:rPr>
        <w:t>≤0.</w:t>
      </w:r>
      <w:r>
        <w:rPr>
          <w:rFonts w:hint="default" w:ascii="Times New Roman" w:hAnsi="Times New Roman" w:eastAsia="仿宋_GB2312" w:cs="Times New Roman"/>
          <w:kern w:val="2"/>
          <w:sz w:val="32"/>
          <w:szCs w:val="32"/>
          <w:lang w:val="en-US" w:eastAsia="zh-CN"/>
        </w:rPr>
        <w:t>34</w:t>
      </w:r>
      <w:r>
        <w:rPr>
          <w:rFonts w:hint="default" w:ascii="Times New Roman" w:hAnsi="Times New Roman" w:eastAsia="仿宋_GB2312" w:cs="Times New Roman"/>
          <w:kern w:val="2"/>
          <w:sz w:val="32"/>
          <w:szCs w:val="32"/>
        </w:rPr>
        <w:t>吨/年，</w:t>
      </w:r>
      <w:r>
        <w:rPr>
          <w:rFonts w:hint="default" w:ascii="Times New Roman" w:hAnsi="Times New Roman" w:eastAsia="仿宋_GB2312" w:cs="Times New Roman"/>
          <w:kern w:val="2"/>
          <w:sz w:val="32"/>
          <w:szCs w:val="32"/>
          <w:lang w:val="en-US" w:eastAsia="zh-CN"/>
        </w:rPr>
        <w:t>总</w:t>
      </w:r>
      <w:r>
        <w:rPr>
          <w:rFonts w:hint="default" w:ascii="Times New Roman" w:hAnsi="Times New Roman" w:eastAsia="仿宋_GB2312" w:cs="Times New Roman"/>
          <w:kern w:val="2"/>
          <w:sz w:val="32"/>
          <w:szCs w:val="32"/>
        </w:rPr>
        <w:t>氮≤</w:t>
      </w:r>
      <w:r>
        <w:rPr>
          <w:rFonts w:hint="default" w:ascii="Times New Roman" w:hAnsi="Times New Roman" w:eastAsia="仿宋_GB2312" w:cs="Times New Roman"/>
          <w:kern w:val="2"/>
          <w:sz w:val="32"/>
          <w:szCs w:val="32"/>
          <w:lang w:val="en-US" w:eastAsia="zh-CN"/>
        </w:rPr>
        <w:t>10.16</w:t>
      </w:r>
      <w:r>
        <w:rPr>
          <w:rFonts w:hint="default" w:ascii="Times New Roman" w:hAnsi="Times New Roman" w:eastAsia="仿宋_GB2312" w:cs="Times New Roman"/>
          <w:kern w:val="2"/>
          <w:sz w:val="32"/>
          <w:szCs w:val="32"/>
        </w:rPr>
        <w:t>吨/年</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二氧化硫≤0.</w:t>
      </w:r>
      <w:r>
        <w:rPr>
          <w:rFonts w:hint="default" w:ascii="Times New Roman" w:hAnsi="Times New Roman" w:eastAsia="仿宋_GB2312" w:cs="Times New Roman"/>
          <w:kern w:val="2"/>
          <w:sz w:val="32"/>
          <w:szCs w:val="32"/>
          <w:lang w:val="en-US" w:eastAsia="zh-CN"/>
        </w:rPr>
        <w:t>4</w:t>
      </w:r>
      <w:r>
        <w:rPr>
          <w:rFonts w:hint="default" w:ascii="Times New Roman" w:hAnsi="Times New Roman" w:eastAsia="仿宋_GB2312" w:cs="Times New Roman"/>
          <w:kern w:val="2"/>
          <w:sz w:val="32"/>
          <w:szCs w:val="32"/>
        </w:rPr>
        <w:t>7吨/年。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五、本项目环评不涉及具体入驻项目的环境影响评价，拟入驻的项目须对照《报告书》明确的环境准入清单要求，依法单独进行环境影响评价与审批程序，不得擅自改变环境影响评价类别、降低环境影响评价等级。</w:t>
      </w:r>
    </w:p>
    <w:p>
      <w:pPr>
        <w:pStyle w:val="13"/>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项目有关安全、消防等问题以应急、消防等部门意见为准，在满足相关要求前，不得开工建设。</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报告书》经批复后，项目的性质、规模、地点、采用的生产工艺或者防治污染、防止生态破坏的措施发生重大变动的，应当重新报批项目环境影响评价文件。自批复之日起超过五年，方决定建设项目开工建设的，其环境影响评价文件应报我局重新审核。项目在实际排污之前须完善排污许可相关手续，并严格按规定程序实施竣工环境保护验收。本项目建设、运行依法需要其他行政许可的，你单位应按规定及时办理并取得其他行政许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rPr>
        <w:t>、该项目的环境保护“三同时”监督检查及日常环境管理工作按属地管理原则由常德市生态环境局经开区分局具体负责。</w:t>
      </w:r>
      <w:r>
        <w:rPr>
          <w:rFonts w:hint="eastAsia" w:ascii="Times New Roman" w:hAnsi="Times New Roman" w:eastAsia="仿宋_GB2312" w:cs="Times New Roman"/>
          <w:sz w:val="32"/>
          <w:szCs w:val="32"/>
          <w:lang w:eastAsia="zh-CN"/>
        </w:rPr>
        <w:t>你</w:t>
      </w:r>
      <w:r>
        <w:rPr>
          <w:rFonts w:hint="default" w:ascii="Times New Roman" w:hAnsi="Times New Roman" w:eastAsia="仿宋_GB2312" w:cs="Times New Roman"/>
          <w:sz w:val="32"/>
          <w:szCs w:val="32"/>
          <w:lang w:val="zh-TW" w:eastAsia="zh-CN"/>
        </w:rPr>
        <w:t>单位应在收到本批复后的</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zh-TW" w:eastAsia="zh-CN"/>
        </w:rPr>
        <w:t>5个工作日内，将批准后的《报告书》</w:t>
      </w:r>
      <w:r>
        <w:rPr>
          <w:rFonts w:hint="eastAsia" w:ascii="Times New Roman" w:hAnsi="Times New Roman" w:eastAsia="仿宋_GB2312" w:cs="Times New Roman"/>
          <w:sz w:val="32"/>
          <w:szCs w:val="32"/>
          <w:lang w:val="zh-TW" w:eastAsia="zh-CN"/>
        </w:rPr>
        <w:t>及本批复</w:t>
      </w:r>
      <w:r>
        <w:rPr>
          <w:rFonts w:hint="default" w:ascii="Times New Roman" w:hAnsi="Times New Roman" w:eastAsia="仿宋_GB2312" w:cs="Times New Roman"/>
          <w:sz w:val="32"/>
          <w:szCs w:val="32"/>
          <w:lang w:val="zh-TW" w:eastAsia="zh-CN"/>
        </w:rPr>
        <w:t>送至常德市生态环境局</w:t>
      </w:r>
      <w:r>
        <w:rPr>
          <w:rFonts w:hint="default" w:ascii="Times New Roman" w:hAnsi="Times New Roman" w:eastAsia="仿宋_GB2312" w:cs="Times New Roman"/>
          <w:sz w:val="32"/>
          <w:szCs w:val="32"/>
        </w:rPr>
        <w:t>经开区分局</w:t>
      </w:r>
      <w:r>
        <w:rPr>
          <w:rFonts w:hint="eastAsia" w:ascii="Times New Roman" w:hAnsi="Times New Roman" w:eastAsia="仿宋_GB2312" w:cs="Times New Roman"/>
          <w:sz w:val="32"/>
          <w:szCs w:val="32"/>
          <w:lang w:val="zh-TW" w:eastAsia="zh-CN"/>
        </w:rPr>
        <w:t>，</w:t>
      </w:r>
      <w:r>
        <w:rPr>
          <w:rFonts w:hint="default" w:ascii="Times New Roman" w:hAnsi="Times New Roman" w:eastAsia="仿宋_GB2312" w:cs="Times New Roman"/>
          <w:sz w:val="32"/>
          <w:szCs w:val="32"/>
          <w:lang w:val="en-US" w:eastAsia="zh-CN"/>
        </w:rPr>
        <w:t>按规定接受生态环境部门监督检查。</w:t>
      </w:r>
    </w:p>
    <w:p>
      <w:pPr>
        <w:keepNext w:val="0"/>
        <w:keepLines w:val="0"/>
        <w:pageBreakBefore w:val="0"/>
        <w:kinsoku/>
        <w:wordWrap/>
        <w:overflowPunct/>
        <w:topLinePunct w:val="0"/>
        <w:autoSpaceDE/>
        <w:autoSpaceDN/>
        <w:bidi w:val="0"/>
        <w:adjustRightInd/>
        <w:snapToGrid/>
        <w:spacing w:line="560" w:lineRule="exact"/>
        <w:ind w:left="0"/>
        <w:textAlignment w:val="auto"/>
        <w:rPr>
          <w:rFonts w:hint="default" w:ascii="Times New Roman" w:hAnsi="Times New Roman" w:eastAsia="仿宋_GB2312" w:cs="Times New Roman"/>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p>
    <w:p>
      <w:pPr>
        <w:keepNext w:val="0"/>
        <w:keepLines w:val="0"/>
        <w:pageBreakBefore w:val="0"/>
        <w:tabs>
          <w:tab w:val="left" w:pos="605"/>
          <w:tab w:val="left" w:pos="7560"/>
        </w:tabs>
        <w:kinsoku/>
        <w:wordWrap/>
        <w:overflowPunct/>
        <w:topLinePunct w:val="0"/>
        <w:autoSpaceDE/>
        <w:autoSpaceDN/>
        <w:bidi w:val="0"/>
        <w:adjustRightInd/>
        <w:snapToGrid/>
        <w:spacing w:line="560" w:lineRule="exact"/>
        <w:ind w:firstLine="4800" w:firstLineChars="1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常德市生态环境局</w:t>
      </w:r>
    </w:p>
    <w:p>
      <w:pPr>
        <w:keepNext w:val="0"/>
        <w:keepLines w:val="0"/>
        <w:pageBreakBefore w:val="0"/>
        <w:kinsoku/>
        <w:wordWrap/>
        <w:overflowPunct/>
        <w:topLinePunct w:val="0"/>
        <w:autoSpaceDE/>
        <w:autoSpaceDN/>
        <w:bidi w:val="0"/>
        <w:adjustRightInd/>
        <w:snapToGrid/>
        <w:spacing w:line="560" w:lineRule="exact"/>
        <w:ind w:firstLine="5120" w:firstLineChars="1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日</w:t>
      </w:r>
    </w:p>
    <w:p>
      <w:pPr>
        <w:pStyle w:val="6"/>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pStyle w:val="8"/>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pPr>
        <w:pStyle w:val="8"/>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 xml:space="preserve">                        </w:t>
      </w:r>
    </w:p>
    <w:p>
      <w:pPr>
        <w:keepNext w:val="0"/>
        <w:keepLines w:val="0"/>
        <w:pageBreakBefore w:val="0"/>
        <w:pBdr>
          <w:top w:val="single" w:color="auto" w:sz="4" w:space="1"/>
          <w:bottom w:val="single" w:color="auto" w:sz="4" w:space="1"/>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抄送：</w:t>
      </w:r>
      <w:r>
        <w:rPr>
          <w:rFonts w:hint="default" w:ascii="Times New Roman" w:hAnsi="Times New Roman" w:eastAsia="仿宋_GB2312" w:cs="Times New Roman"/>
          <w:color w:val="000000"/>
          <w:kern w:val="0"/>
          <w:sz w:val="28"/>
          <w:szCs w:val="28"/>
        </w:rPr>
        <w:t>常德经济技术开发区管理委员会、</w:t>
      </w:r>
      <w:r>
        <w:rPr>
          <w:rFonts w:hint="default" w:ascii="Times New Roman" w:hAnsi="Times New Roman" w:eastAsia="仿宋_GB2312" w:cs="Times New Roman"/>
          <w:color w:val="000000"/>
          <w:kern w:val="0"/>
          <w:sz w:val="28"/>
          <w:szCs w:val="28"/>
          <w:lang w:val="en-US" w:eastAsia="zh-CN" w:bidi="ar-SA"/>
        </w:rPr>
        <w:t>常德市生态环境事务中心、</w:t>
      </w:r>
      <w:r>
        <w:rPr>
          <w:rFonts w:hint="default" w:ascii="Times New Roman" w:hAnsi="Times New Roman" w:eastAsia="仿宋_GB2312" w:cs="Times New Roman"/>
          <w:color w:val="000000"/>
          <w:sz w:val="28"/>
          <w:szCs w:val="28"/>
        </w:rPr>
        <w:t>常德市生态环境局经开区分局、常德市双赢环境咨询服务有限公司</w:t>
      </w:r>
    </w:p>
    <w:sectPr>
      <w:footerReference r:id="rId3" w:type="default"/>
      <w:footerReference r:id="rId4" w:type="even"/>
      <w:pgSz w:w="11906" w:h="16838"/>
      <w:pgMar w:top="2098" w:right="1474" w:bottom="1701" w:left="1588"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swiss"/>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7F" w:usb3="00000000" w:csb0="203F01FF" w:csb1="DFFF0000"/>
  </w:font>
  <w:font w:name="仿宋_GB2312">
    <w:panose1 w:val="02010609030101010101"/>
    <w:charset w:val="86"/>
    <w:family w:val="modern"/>
    <w:pitch w:val="default"/>
    <w:sig w:usb0="00000001" w:usb1="080E0000" w:usb2="00000000" w:usb3="00000000" w:csb0="00040000" w:csb1="00000000"/>
    <w:embedRegular r:id="rId1" w:fontKey="{DD06CA06-BF06-4624-8351-3402BBBB03CC}"/>
  </w:font>
  <w:font w:name="楷体_GB2312">
    <w:panose1 w:val="02010609030101010101"/>
    <w:charset w:val="86"/>
    <w:family w:val="modern"/>
    <w:pitch w:val="default"/>
    <w:sig w:usb0="00000001" w:usb1="080E0000" w:usb2="00000000" w:usb3="00000000" w:csb0="00040000" w:csb1="00000000"/>
    <w:embedRegular r:id="rId2" w:fontKey="{A9DC3374-B53A-46CB-8C9D-0A9403CF89A7}"/>
  </w:font>
  <w:font w:name="方正小标宋简体">
    <w:panose1 w:val="02000000000000000000"/>
    <w:charset w:val="86"/>
    <w:family w:val="script"/>
    <w:pitch w:val="default"/>
    <w:sig w:usb0="00000001" w:usb1="08000000" w:usb2="00000000" w:usb3="00000000" w:csb0="00040000" w:csb1="00000000"/>
    <w:embedRegular r:id="rId3" w:fontKey="{61FD307D-4B62-444B-97EC-3AA9A001E0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outside" w:y="1"/>
      <w:rPr>
        <w:rStyle w:val="16"/>
      </w:rPr>
    </w:pPr>
    <w:r>
      <w:rPr>
        <w:rStyle w:val="16"/>
        <w:rFonts w:hint="eastAsia" w:ascii="宋体" w:hAnsi="宋体" w:eastAsia="宋体" w:cs="宋体"/>
        <w:sz w:val="24"/>
        <w:szCs w:val="24"/>
      </w:rPr>
      <w:fldChar w:fldCharType="begin"/>
    </w:r>
    <w:r>
      <w:rPr>
        <w:rStyle w:val="16"/>
        <w:rFonts w:hint="eastAsia" w:ascii="宋体" w:hAnsi="宋体" w:eastAsia="宋体" w:cs="宋体"/>
        <w:sz w:val="24"/>
        <w:szCs w:val="24"/>
      </w:rPr>
      <w:instrText xml:space="preserve">PAGE  </w:instrText>
    </w:r>
    <w:r>
      <w:rPr>
        <w:rStyle w:val="16"/>
        <w:rFonts w:hint="eastAsia" w:ascii="宋体" w:hAnsi="宋体" w:eastAsia="宋体" w:cs="宋体"/>
        <w:sz w:val="24"/>
        <w:szCs w:val="24"/>
      </w:rPr>
      <w:fldChar w:fldCharType="separate"/>
    </w:r>
    <w:r>
      <w:rPr>
        <w:rStyle w:val="16"/>
        <w:rFonts w:hint="eastAsia" w:ascii="宋体" w:hAnsi="宋体" w:eastAsia="宋体" w:cs="宋体"/>
        <w:sz w:val="24"/>
        <w:szCs w:val="24"/>
        <w:lang w:val="en-US" w:eastAsia="zh-CN"/>
      </w:rPr>
      <w:t>- 2 -</w:t>
    </w:r>
    <w:r>
      <w:rPr>
        <w:rStyle w:val="16"/>
        <w:rFonts w:hint="eastAsia" w:ascii="宋体" w:hAnsi="宋体" w:eastAsia="宋体" w:cs="宋体"/>
        <w:sz w:val="24"/>
        <w:szCs w:val="24"/>
      </w:rPr>
      <w:fldChar w:fldCharType="end"/>
    </w:r>
  </w:p>
  <w:p>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outside" w:y="1"/>
      <w:rPr>
        <w:rStyle w:val="16"/>
      </w:rPr>
    </w:pPr>
    <w:r>
      <w:rPr>
        <w:rStyle w:val="16"/>
      </w:rPr>
      <w:fldChar w:fldCharType="begin"/>
    </w:r>
    <w:r>
      <w:rPr>
        <w:rStyle w:val="16"/>
      </w:rPr>
      <w:instrText xml:space="preserve">PAGE  </w:instrText>
    </w:r>
    <w:r>
      <w:rPr>
        <w:rStyle w:val="16"/>
      </w:rPr>
      <w:fldChar w:fldCharType="separate"/>
    </w:r>
    <w:r>
      <w:rPr>
        <w:rStyle w:val="16"/>
      </w:rPr>
      <w:t xml:space="preserve"> </w:t>
    </w:r>
    <w:r>
      <w:rPr>
        <w:rStyle w:val="16"/>
      </w:rPr>
      <w:fldChar w:fldCharType="end"/>
    </w:r>
  </w:p>
  <w:p>
    <w:pPr>
      <w:pStyle w:val="10"/>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C2E5C2"/>
    <w:multiLevelType w:val="singleLevel"/>
    <w:tmpl w:val="DBC2E5C2"/>
    <w:lvl w:ilvl="0" w:tentative="0">
      <w:start w:val="3"/>
      <w:numFmt w:val="chineseCounting"/>
      <w:suff w:val="nothing"/>
      <w:lvlText w:val="%1、"/>
      <w:lvlJc w:val="left"/>
      <w:rPr>
        <w:rFonts w:hint="eastAsia"/>
      </w:rPr>
    </w:lvl>
  </w:abstractNum>
  <w:abstractNum w:abstractNumId="1">
    <w:nsid w:val="EC3487B2"/>
    <w:multiLevelType w:val="multilevel"/>
    <w:tmpl w:val="EC3487B2"/>
    <w:lvl w:ilvl="0" w:tentative="0">
      <w:start w:val="1"/>
      <w:numFmt w:val="chineseCountingThousand"/>
      <w:suff w:val="nothing"/>
      <w:lvlText w:val="%1、"/>
      <w:lvlJc w:val="left"/>
      <w:pPr>
        <w:ind w:left="0" w:firstLine="0"/>
      </w:pPr>
      <w:rPr>
        <w:rFonts w:hint="default" w:cs="仿宋"/>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noLineBreaksAfter w:lang="zh-CN" w:val="$([{£¥·‘“〈《「『【〔〖〝﹙﹛﹝＄（．［｛￡￥"/>
  <w:noLineBreaksBefore w:lang="zh-CN" w:val="!%),.:;&gt;?]}¢¨°·ˇˉ―‖’”…‰′″›℃∶、。〃〉》」』】〕〗〞︶︺︾﹀﹄﹚﹜﹞！＂％＇），．：；？］｀｜｝～￠"/>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rsids>
    <w:rsidRoot w:val="00000000"/>
    <w:rsid w:val="00ED3513"/>
    <w:rsid w:val="029525CA"/>
    <w:rsid w:val="0DDB5ECC"/>
    <w:rsid w:val="0E797ADB"/>
    <w:rsid w:val="12A0679B"/>
    <w:rsid w:val="1606592F"/>
    <w:rsid w:val="1A375F62"/>
    <w:rsid w:val="1C980813"/>
    <w:rsid w:val="27B89D7D"/>
    <w:rsid w:val="27EF2CC4"/>
    <w:rsid w:val="36FF2575"/>
    <w:rsid w:val="37A8535D"/>
    <w:rsid w:val="38FCCA0B"/>
    <w:rsid w:val="3A7AA3F7"/>
    <w:rsid w:val="44BD4B34"/>
    <w:rsid w:val="484309AE"/>
    <w:rsid w:val="4B0562FF"/>
    <w:rsid w:val="551C08B3"/>
    <w:rsid w:val="57649916"/>
    <w:rsid w:val="6A7C3A85"/>
    <w:rsid w:val="6B927BF0"/>
    <w:rsid w:val="6EFF9507"/>
    <w:rsid w:val="776141E7"/>
    <w:rsid w:val="7BCD19B4"/>
    <w:rsid w:val="7BFEB5DF"/>
    <w:rsid w:val="9F9FD8BF"/>
    <w:rsid w:val="BBF5D851"/>
    <w:rsid w:val="BFDF3AC0"/>
    <w:rsid w:val="CFBCA96A"/>
    <w:rsid w:val="E4FE6890"/>
    <w:rsid w:val="EAE55DE7"/>
    <w:rsid w:val="EB979A81"/>
    <w:rsid w:val="EBDAFC79"/>
    <w:rsid w:val="ED9F3A83"/>
    <w:rsid w:val="F3EDE138"/>
    <w:rsid w:val="F57F701F"/>
    <w:rsid w:val="F7AD77A6"/>
    <w:rsid w:val="F9FF7CD5"/>
    <w:rsid w:val="FBDF089C"/>
    <w:rsid w:val="FE79D5F3"/>
    <w:rsid w:val="FFAB3CD3"/>
    <w:rsid w:val="FFFD30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9"/>
    <w:qFormat/>
    <w:uiPriority w:val="0"/>
    <w:pPr>
      <w:keepNext/>
      <w:keepLines/>
      <w:outlineLvl w:val="2"/>
    </w:pPr>
    <w:rPr>
      <w:b/>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w:basedOn w:val="1"/>
    <w:next w:val="7"/>
    <w:qFormat/>
    <w:uiPriority w:val="0"/>
    <w:rPr>
      <w:rFonts w:ascii="仿宋" w:hAnsi="仿宋" w:cs="仿宋"/>
      <w:sz w:val="31"/>
      <w:szCs w:val="31"/>
      <w:lang w:bidi="ar-SA"/>
    </w:rPr>
  </w:style>
  <w:style w:type="paragraph" w:customStyle="1" w:styleId="7">
    <w:name w:val="xl27"/>
    <w:basedOn w:val="1"/>
    <w:next w:val="8"/>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olor w:val="000000"/>
      <w:sz w:val="20"/>
      <w:szCs w:val="20"/>
    </w:rPr>
  </w:style>
  <w:style w:type="paragraph" w:customStyle="1" w:styleId="8">
    <w:name w:val="A正文"/>
    <w:qFormat/>
    <w:uiPriority w:val="99"/>
    <w:pPr>
      <w:spacing w:line="480" w:lineRule="exact"/>
      <w:ind w:firstLine="480"/>
    </w:pPr>
    <w:rPr>
      <w:rFonts w:ascii="宋体" w:hAnsi="宋体" w:eastAsia="宋体" w:cs="Times New Roman"/>
      <w:sz w:val="24"/>
      <w:szCs w:val="22"/>
      <w:lang w:val="en-US" w:eastAsia="zh-CN" w:bidi="ar-SA"/>
    </w:rPr>
  </w:style>
  <w:style w:type="paragraph" w:styleId="9">
    <w:name w:val="Body Text Indent"/>
    <w:basedOn w:val="1"/>
    <w:qFormat/>
    <w:uiPriority w:val="0"/>
    <w:pPr>
      <w:spacing w:after="120"/>
      <w:ind w:left="420" w:leftChars="20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13">
    <w:name w:val="Body Text First Indent 2"/>
    <w:basedOn w:val="9"/>
    <w:next w:val="1"/>
    <w:qFormat/>
    <w:uiPriority w:val="0"/>
    <w:pPr>
      <w:spacing w:after="120" w:line="240" w:lineRule="auto"/>
      <w:ind w:left="420" w:leftChars="200" w:firstLine="420" w:firstLineChars="200"/>
    </w:pPr>
    <w:rPr>
      <w:sz w:val="21"/>
    </w:rPr>
  </w:style>
  <w:style w:type="character" w:styleId="16">
    <w:name w:val="page number"/>
    <w:basedOn w:val="15"/>
    <w:qFormat/>
    <w:uiPriority w:val="0"/>
  </w:style>
  <w:style w:type="character" w:customStyle="1" w:styleId="17">
    <w:name w:val="heading 1 Char"/>
    <w:basedOn w:val="15"/>
    <w:link w:val="2"/>
    <w:qFormat/>
    <w:uiPriority w:val="0"/>
    <w:rPr>
      <w:rFonts w:ascii="Calibri" w:hAnsi="Calibri" w:eastAsia="宋体" w:cs="Times New Roman"/>
      <w:b/>
      <w:bCs/>
      <w:kern w:val="44"/>
      <w:sz w:val="44"/>
      <w:szCs w:val="44"/>
      <w:lang w:val="en-US" w:eastAsia="zh-CN" w:bidi="ar-SA"/>
    </w:rPr>
  </w:style>
  <w:style w:type="character" w:customStyle="1" w:styleId="18">
    <w:name w:val="heading 2 Char"/>
    <w:basedOn w:val="15"/>
    <w:link w:val="3"/>
    <w:qFormat/>
    <w:uiPriority w:val="0"/>
    <w:rPr>
      <w:rFonts w:ascii="Times New Roman" w:hAnsi="Times New Roman" w:eastAsia="黑体" w:cs="Times New Roman"/>
      <w:b/>
      <w:bCs/>
      <w:kern w:val="2"/>
      <w:sz w:val="32"/>
      <w:szCs w:val="32"/>
      <w:lang w:val="en-US" w:eastAsia="zh-CN" w:bidi="ar-SA"/>
    </w:rPr>
  </w:style>
  <w:style w:type="character" w:customStyle="1" w:styleId="19">
    <w:name w:val="heading 3 Char"/>
    <w:basedOn w:val="15"/>
    <w:link w:val="4"/>
    <w:qFormat/>
    <w:uiPriority w:val="0"/>
    <w:rPr>
      <w:rFonts w:ascii="Calibri" w:hAnsi="Calibri" w:eastAsia="宋体" w:cs="Times New Roman"/>
      <w:b/>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Yozosoft</Company>
  <Pages>6</Pages>
  <Words>2826</Words>
  <Characters>3024</Characters>
  <Lines>0</Lines>
  <Paragraphs>27</Paragraphs>
  <TotalTime>42</TotalTime>
  <ScaleCrop>false</ScaleCrop>
  <LinksUpToDate>false</LinksUpToDate>
  <CharactersWithSpaces>3054</CharactersWithSpaces>
  <Application>WPS Office_11.1.0.11757_F1E327BC-269C-435d-A152-05C5408002CA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2021-05-09T15:28:00Z</dcterms:created>
  <dc:creator>User274</dc:creator>
  <cp:lastModifiedBy>昊不昊啊？</cp:lastModifiedBy>
  <dcterms:modified xsi:type="dcterms:W3CDTF">2026-08-28T08:39:26Z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eyJoZGlkIjoiMjdjODFhMDIzOWJhNmU0OGNjZTQ1NTdhYTE4ZjBjZDgiLCJ1c2VySWQiOiIyNzA0MDE4ODkifQ==</vt:lpwstr>
  </property>
  <property fmtid="{D5CDD505-2E9C-101B-9397-08002B2CF9AE}" pid="3" name="KSOProductBuildVer">
    <vt:lpwstr>2052-11.1.0.11757</vt:lpwstr>
  </property>
  <property fmtid="{D5CDD505-2E9C-101B-9397-08002B2CF9AE}" pid="4" name="ICV">
    <vt:lpwstr>53F902BD2E1E41A1A34949CDF0A7F7D6</vt:lpwstr>
  </property>
</Properties>
</file>