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before="1160" w:after="0" w:line="560" w:lineRule="exact"/>
        <w:jc w:val="right"/>
        <w:rPr>
          <w:rFonts w:ascii="仿宋_GB2312" w:eastAsia="仿宋_GB2312"/>
          <w:color w:val="auto"/>
        </w:rPr>
      </w:pPr>
      <w:bookmarkStart w:id="0" w:name="_GoBack"/>
      <w:bookmarkEnd w:id="0"/>
      <w:r>
        <w:rPr>
          <w:rFonts w:hint="eastAsia" w:ascii="仿宋_GB2312" w:hAnsi="仿宋" w:eastAsia="仿宋_GB2312"/>
          <w:color w:val="auto"/>
          <w:sz w:val="32"/>
          <w:szCs w:val="32"/>
        </w:rPr>
        <w:t>常环建〔202</w:t>
      </w:r>
      <w:r>
        <w:rPr>
          <w:rFonts w:hint="eastAsia" w:ascii="仿宋_GB2312" w:hAnsi="仿宋" w:eastAsia="仿宋_GB2312"/>
          <w:color w:val="auto"/>
          <w:sz w:val="32"/>
          <w:szCs w:val="32"/>
          <w:lang w:val="en-US" w:eastAsia="zh-CN"/>
        </w:rPr>
        <w:t>6</w:t>
      </w:r>
      <w:r>
        <w:rPr>
          <w:rFonts w:hint="eastAsia" w:ascii="仿宋_GB2312" w:hAnsi="仿宋" w:eastAsia="仿宋_GB2312"/>
          <w:color w:val="auto"/>
          <w:sz w:val="32"/>
          <w:szCs w:val="32"/>
        </w:rPr>
        <w:t>〕</w:t>
      </w:r>
      <w:r>
        <w:rPr>
          <w:rFonts w:hint="default" w:ascii="仿宋_GB2312" w:hAnsi="仿宋" w:eastAsia="仿宋_GB2312"/>
          <w:color w:val="auto"/>
          <w:sz w:val="32"/>
          <w:szCs w:val="32"/>
          <w:lang w:val="en-US"/>
        </w:rPr>
        <w:t>39</w:t>
      </w:r>
      <w:r>
        <w:rPr>
          <w:rFonts w:hint="eastAsia" w:ascii="仿宋_GB2312" w:hAnsi="仿宋" w:eastAsia="仿宋_GB2312"/>
          <w:color w:val="auto"/>
          <w:sz w:val="32"/>
          <w:szCs w:val="32"/>
        </w:rPr>
        <w:t>号</w:t>
      </w:r>
    </w:p>
    <w:p>
      <w:pPr>
        <w:tabs>
          <w:tab w:val="left" w:pos="1021"/>
        </w:tabs>
        <w:spacing w:after="0" w:line="560" w:lineRule="exact"/>
        <w:jc w:val="center"/>
        <w:rPr>
          <w:rFonts w:hint="eastAsia" w:ascii="方正小标宋简体" w:eastAsia="方正小标宋简体" w:hAnsiTheme="majorEastAsia"/>
          <w:color w:val="auto"/>
          <w:sz w:val="44"/>
          <w:szCs w:val="44"/>
        </w:rPr>
      </w:pPr>
    </w:p>
    <w:p>
      <w:pPr>
        <w:tabs>
          <w:tab w:val="left" w:pos="1021"/>
        </w:tabs>
        <w:spacing w:after="0" w:line="560" w:lineRule="exact"/>
        <w:jc w:val="center"/>
        <w:rPr>
          <w:rFonts w:hint="eastAsia" w:ascii="方正小标宋简体" w:eastAsia="方正小标宋简体" w:hAnsiTheme="majorEastAsia"/>
          <w:color w:val="auto"/>
          <w:sz w:val="44"/>
          <w:szCs w:val="44"/>
        </w:rPr>
      </w:pPr>
      <w:r>
        <w:rPr>
          <w:rFonts w:hint="eastAsia" w:ascii="方正小标宋简体" w:eastAsia="方正小标宋简体" w:hAnsiTheme="majorEastAsia"/>
          <w:color w:val="auto"/>
          <w:sz w:val="44"/>
          <w:szCs w:val="44"/>
        </w:rPr>
        <w:t>常德市生态环境局</w:t>
      </w:r>
    </w:p>
    <w:p>
      <w:pPr>
        <w:tabs>
          <w:tab w:val="left" w:pos="1021"/>
        </w:tabs>
        <w:spacing w:after="0" w:line="560" w:lineRule="exact"/>
        <w:jc w:val="center"/>
        <w:rPr>
          <w:rFonts w:hint="eastAsia" w:ascii="方正小标宋简体" w:eastAsia="方正小标宋简体" w:hAnsiTheme="majorEastAsia"/>
          <w:color w:val="auto"/>
          <w:sz w:val="44"/>
          <w:szCs w:val="44"/>
          <w:lang w:eastAsia="zh-CN"/>
        </w:rPr>
      </w:pPr>
      <w:r>
        <w:rPr>
          <w:rFonts w:hint="eastAsia" w:ascii="方正小标宋简体" w:eastAsia="方正小标宋简体" w:hAnsiTheme="majorEastAsia"/>
          <w:color w:val="auto"/>
          <w:sz w:val="44"/>
          <w:szCs w:val="44"/>
        </w:rPr>
        <w:t>关于</w:t>
      </w:r>
      <w:r>
        <w:rPr>
          <w:rFonts w:hint="eastAsia" w:ascii="方正小标宋简体" w:eastAsia="方正小标宋简体" w:hAnsiTheme="majorEastAsia"/>
          <w:color w:val="auto"/>
          <w:sz w:val="44"/>
          <w:szCs w:val="44"/>
          <w:lang w:eastAsia="zh-CN"/>
        </w:rPr>
        <w:t>汉寿高新技术产业开发区管理委员会</w:t>
      </w:r>
    </w:p>
    <w:p>
      <w:pPr>
        <w:tabs>
          <w:tab w:val="left" w:pos="1021"/>
        </w:tabs>
        <w:spacing w:after="0" w:line="560" w:lineRule="exact"/>
        <w:jc w:val="center"/>
        <w:rPr>
          <w:rFonts w:hint="eastAsia" w:ascii="方正小标宋简体" w:eastAsia="方正小标宋简体" w:hAnsiTheme="majorEastAsia"/>
          <w:color w:val="auto"/>
          <w:sz w:val="44"/>
          <w:szCs w:val="44"/>
          <w:lang w:eastAsia="zh-CN"/>
        </w:rPr>
      </w:pPr>
      <w:r>
        <w:rPr>
          <w:rFonts w:hint="eastAsia" w:ascii="方正小标宋简体" w:eastAsia="方正小标宋简体" w:hAnsiTheme="majorEastAsia"/>
          <w:color w:val="auto"/>
          <w:sz w:val="44"/>
          <w:szCs w:val="44"/>
          <w:lang w:eastAsia="zh-CN"/>
        </w:rPr>
        <w:t>汉寿高新区竹子碑工业污水处理厂建设项目</w:t>
      </w:r>
    </w:p>
    <w:p>
      <w:pPr>
        <w:tabs>
          <w:tab w:val="left" w:pos="1021"/>
        </w:tabs>
        <w:spacing w:after="0" w:line="560" w:lineRule="exact"/>
        <w:jc w:val="center"/>
        <w:rPr>
          <w:rFonts w:hint="eastAsia" w:ascii="方正小标宋简体" w:eastAsia="方正小标宋简体" w:hAnsiTheme="majorEastAsia"/>
          <w:color w:val="auto"/>
          <w:sz w:val="44"/>
          <w:szCs w:val="44"/>
        </w:rPr>
      </w:pPr>
      <w:r>
        <w:rPr>
          <w:rFonts w:hint="eastAsia" w:ascii="方正小标宋简体" w:eastAsia="方正小标宋简体" w:hAnsiTheme="majorEastAsia"/>
          <w:color w:val="auto"/>
          <w:sz w:val="44"/>
          <w:szCs w:val="44"/>
        </w:rPr>
        <w:t>环境影响报告</w:t>
      </w:r>
      <w:r>
        <w:rPr>
          <w:rFonts w:hint="eastAsia" w:ascii="方正小标宋简体" w:eastAsia="方正小标宋简体" w:hAnsiTheme="majorEastAsia"/>
          <w:color w:val="auto"/>
          <w:sz w:val="44"/>
          <w:szCs w:val="44"/>
          <w:lang w:eastAsia="zh-CN"/>
        </w:rPr>
        <w:t>书</w:t>
      </w:r>
      <w:r>
        <w:rPr>
          <w:rFonts w:hint="eastAsia" w:ascii="方正小标宋简体" w:eastAsia="方正小标宋简体" w:hAnsiTheme="majorEastAsia"/>
          <w:color w:val="auto"/>
          <w:sz w:val="44"/>
          <w:szCs w:val="44"/>
        </w:rPr>
        <w:t>的批复</w:t>
      </w:r>
    </w:p>
    <w:p>
      <w:pPr>
        <w:spacing w:after="0" w:line="560" w:lineRule="exact"/>
        <w:jc w:val="both"/>
        <w:rPr>
          <w:rFonts w:hint="eastAsia" w:ascii="仿宋" w:hAnsi="仿宋" w:eastAsia="仿宋"/>
          <w:color w:val="auto"/>
          <w:kern w:val="2"/>
          <w:sz w:val="32"/>
          <w:szCs w:val="32"/>
        </w:rPr>
      </w:pPr>
    </w:p>
    <w:p>
      <w:pPr>
        <w:widowControl w:val="0"/>
        <w:spacing w:after="0" w:line="560" w:lineRule="exact"/>
        <w:jc w:val="both"/>
        <w:rPr>
          <w:rFonts w:hint="eastAsia" w:ascii="仿宋_GB2312" w:hAnsi="仿宋" w:eastAsia="仿宋_GB2312"/>
          <w:color w:val="auto"/>
          <w:sz w:val="32"/>
          <w:szCs w:val="32"/>
        </w:rPr>
      </w:pPr>
      <w:r>
        <w:rPr>
          <w:rFonts w:hint="eastAsia" w:ascii="仿宋_GB2312" w:hAnsi="仿宋" w:eastAsia="仿宋_GB2312"/>
          <w:color w:val="auto"/>
          <w:sz w:val="32"/>
          <w:szCs w:val="32"/>
          <w:lang w:eastAsia="zh-CN"/>
        </w:rPr>
        <w:t>汉寿高新技术产业开发区管理委员会</w:t>
      </w:r>
      <w:r>
        <w:rPr>
          <w:rFonts w:hint="eastAsia" w:ascii="仿宋_GB2312" w:hAnsi="仿宋" w:eastAsia="仿宋_GB2312"/>
          <w:color w:val="auto"/>
          <w:sz w:val="32"/>
          <w:szCs w:val="32"/>
        </w:rPr>
        <w:t>：</w:t>
      </w:r>
    </w:p>
    <w:p>
      <w:pPr>
        <w:widowControl w:val="0"/>
        <w:spacing w:after="0" w:line="560" w:lineRule="exact"/>
        <w:ind w:firstLine="640" w:firstLineChars="200"/>
        <w:jc w:val="both"/>
        <w:rPr>
          <w:rFonts w:hint="eastAsia" w:ascii="仿宋_GB2312" w:hAnsi="仿宋" w:eastAsia="仿宋_GB2312"/>
          <w:color w:val="auto"/>
          <w:kern w:val="2"/>
          <w:sz w:val="32"/>
          <w:szCs w:val="32"/>
        </w:rPr>
      </w:pPr>
      <w:r>
        <w:rPr>
          <w:rFonts w:hint="eastAsia" w:ascii="仿宋_GB2312" w:hAnsi="仿宋" w:eastAsia="仿宋_GB2312"/>
          <w:color w:val="auto"/>
          <w:kern w:val="2"/>
          <w:sz w:val="32"/>
          <w:szCs w:val="32"/>
        </w:rPr>
        <w:t>你</w:t>
      </w:r>
      <w:r>
        <w:rPr>
          <w:rFonts w:hint="eastAsia" w:ascii="仿宋_GB2312" w:hAnsi="仿宋" w:eastAsia="仿宋_GB2312"/>
          <w:color w:val="auto"/>
          <w:kern w:val="2"/>
          <w:sz w:val="32"/>
          <w:szCs w:val="32"/>
          <w:lang w:val="en-US" w:eastAsia="zh-CN"/>
        </w:rPr>
        <w:t>单位</w:t>
      </w:r>
      <w:r>
        <w:rPr>
          <w:rFonts w:hint="eastAsia" w:ascii="仿宋_GB2312" w:hAnsi="仿宋" w:eastAsia="仿宋_GB2312"/>
          <w:color w:val="auto"/>
          <w:kern w:val="2"/>
          <w:sz w:val="32"/>
          <w:szCs w:val="32"/>
        </w:rPr>
        <w:t>提交的《</w:t>
      </w:r>
      <w:r>
        <w:rPr>
          <w:rFonts w:hint="eastAsia" w:ascii="仿宋_GB2312" w:hAnsi="仿宋" w:eastAsia="仿宋_GB2312"/>
          <w:color w:val="auto"/>
          <w:kern w:val="2"/>
          <w:sz w:val="32"/>
          <w:szCs w:val="32"/>
          <w:lang w:eastAsia="zh-CN"/>
        </w:rPr>
        <w:t>汉寿高新区竹子碑工业污水处理厂建设项目</w:t>
      </w:r>
      <w:r>
        <w:rPr>
          <w:rFonts w:hint="eastAsia" w:ascii="仿宋_GB2312" w:hAnsi="仿宋" w:eastAsia="仿宋_GB2312"/>
          <w:color w:val="auto"/>
          <w:kern w:val="2"/>
          <w:sz w:val="32"/>
          <w:szCs w:val="32"/>
        </w:rPr>
        <w:t>环境影响报告</w:t>
      </w:r>
      <w:r>
        <w:rPr>
          <w:rFonts w:hint="eastAsia" w:ascii="仿宋_GB2312" w:hAnsi="仿宋" w:eastAsia="仿宋_GB2312"/>
          <w:color w:val="auto"/>
          <w:kern w:val="2"/>
          <w:sz w:val="32"/>
          <w:szCs w:val="32"/>
          <w:lang w:eastAsia="zh-CN"/>
        </w:rPr>
        <w:t>书</w:t>
      </w:r>
      <w:r>
        <w:rPr>
          <w:rFonts w:hint="eastAsia" w:ascii="仿宋_GB2312" w:hAnsi="仿宋" w:eastAsia="仿宋_GB2312"/>
          <w:color w:val="auto"/>
          <w:kern w:val="2"/>
          <w:sz w:val="32"/>
          <w:szCs w:val="32"/>
        </w:rPr>
        <w:t>》（以下简称“报告</w:t>
      </w:r>
      <w:r>
        <w:rPr>
          <w:rFonts w:hint="eastAsia" w:ascii="仿宋_GB2312" w:hAnsi="仿宋" w:eastAsia="仿宋_GB2312"/>
          <w:color w:val="auto"/>
          <w:kern w:val="2"/>
          <w:sz w:val="32"/>
          <w:szCs w:val="32"/>
          <w:lang w:eastAsia="zh-CN"/>
        </w:rPr>
        <w:t>书</w:t>
      </w:r>
      <w:r>
        <w:rPr>
          <w:rFonts w:hint="eastAsia" w:ascii="仿宋_GB2312" w:hAnsi="仿宋" w:eastAsia="仿宋_GB2312"/>
          <w:color w:val="auto"/>
          <w:kern w:val="2"/>
          <w:sz w:val="32"/>
          <w:szCs w:val="32"/>
        </w:rPr>
        <w:t>”）</w:t>
      </w:r>
      <w:r>
        <w:rPr>
          <w:rFonts w:hint="eastAsia" w:ascii="仿宋_GB2312" w:hAnsi="仿宋" w:eastAsia="仿宋_GB2312"/>
          <w:color w:val="auto"/>
          <w:kern w:val="2"/>
          <w:sz w:val="32"/>
          <w:szCs w:val="32"/>
          <w:lang w:eastAsia="zh-CN"/>
        </w:rPr>
        <w:t>、《汉寿高新区竹子碑工业污水处理厂建设项目公众参与说明》</w:t>
      </w:r>
      <w:r>
        <w:rPr>
          <w:rFonts w:hint="eastAsia" w:ascii="仿宋_GB2312" w:hAnsi="仿宋" w:eastAsia="仿宋_GB2312"/>
          <w:color w:val="auto"/>
          <w:kern w:val="2"/>
          <w:sz w:val="32"/>
          <w:szCs w:val="32"/>
        </w:rPr>
        <w:t>和《关于申请对〈</w:t>
      </w:r>
      <w:r>
        <w:rPr>
          <w:rFonts w:hint="eastAsia" w:ascii="仿宋_GB2312" w:hAnsi="仿宋" w:eastAsia="仿宋_GB2312"/>
          <w:color w:val="auto"/>
          <w:kern w:val="2"/>
          <w:sz w:val="32"/>
          <w:szCs w:val="32"/>
          <w:lang w:eastAsia="zh-CN"/>
        </w:rPr>
        <w:t>汉寿高新区竹子碑工业污水处理厂建设项目</w:t>
      </w:r>
      <w:r>
        <w:rPr>
          <w:rFonts w:hint="eastAsia" w:ascii="仿宋_GB2312" w:hAnsi="仿宋" w:eastAsia="仿宋_GB2312"/>
          <w:color w:val="auto"/>
          <w:kern w:val="2"/>
          <w:sz w:val="32"/>
          <w:szCs w:val="32"/>
        </w:rPr>
        <w:t>环境影响报告</w:t>
      </w:r>
      <w:r>
        <w:rPr>
          <w:rFonts w:hint="eastAsia" w:ascii="仿宋_GB2312" w:hAnsi="仿宋" w:eastAsia="仿宋_GB2312"/>
          <w:color w:val="auto"/>
          <w:kern w:val="2"/>
          <w:sz w:val="32"/>
          <w:szCs w:val="32"/>
          <w:lang w:eastAsia="zh-CN"/>
        </w:rPr>
        <w:t>书</w:t>
      </w:r>
      <w:r>
        <w:rPr>
          <w:rFonts w:hint="eastAsia" w:ascii="仿宋_GB2312" w:hAnsi="仿宋" w:eastAsia="仿宋_GB2312"/>
          <w:color w:val="auto"/>
          <w:kern w:val="2"/>
          <w:sz w:val="32"/>
          <w:szCs w:val="32"/>
        </w:rPr>
        <w:t>〉进行审批的请示》及相关资料收悉，根据</w:t>
      </w:r>
      <w:r>
        <w:rPr>
          <w:rFonts w:hint="eastAsia" w:ascii="仿宋_GB2312" w:hAnsi="仿宋" w:eastAsia="仿宋_GB2312"/>
          <w:color w:val="auto"/>
          <w:kern w:val="2"/>
          <w:sz w:val="32"/>
          <w:szCs w:val="32"/>
          <w:lang w:eastAsia="zh-CN"/>
        </w:rPr>
        <w:t>常德市生态环境事务中心出具的技术评估报告、</w:t>
      </w:r>
      <w:r>
        <w:rPr>
          <w:rFonts w:hint="eastAsia" w:ascii="仿宋_GB2312" w:hAnsi="仿宋" w:eastAsia="仿宋_GB2312"/>
          <w:color w:val="auto"/>
          <w:kern w:val="2"/>
          <w:sz w:val="32"/>
          <w:szCs w:val="32"/>
        </w:rPr>
        <w:t>常德市生态环境局</w:t>
      </w:r>
      <w:r>
        <w:rPr>
          <w:rFonts w:hint="eastAsia" w:ascii="仿宋_GB2312" w:hAnsi="仿宋" w:eastAsia="仿宋_GB2312"/>
          <w:color w:val="auto"/>
          <w:kern w:val="2"/>
          <w:sz w:val="32"/>
          <w:szCs w:val="32"/>
          <w:lang w:eastAsia="zh-CN"/>
        </w:rPr>
        <w:t>汉寿</w:t>
      </w:r>
      <w:r>
        <w:rPr>
          <w:rFonts w:hint="eastAsia" w:ascii="仿宋_GB2312" w:hAnsi="仿宋" w:eastAsia="仿宋_GB2312"/>
          <w:color w:val="auto"/>
          <w:kern w:val="2"/>
          <w:sz w:val="32"/>
          <w:szCs w:val="32"/>
        </w:rPr>
        <w:t>分局对《报告</w:t>
      </w:r>
      <w:r>
        <w:rPr>
          <w:rFonts w:hint="eastAsia" w:ascii="仿宋_GB2312" w:hAnsi="仿宋" w:eastAsia="仿宋_GB2312"/>
          <w:color w:val="auto"/>
          <w:kern w:val="2"/>
          <w:sz w:val="32"/>
          <w:szCs w:val="32"/>
          <w:lang w:eastAsia="zh-CN"/>
        </w:rPr>
        <w:t>书</w:t>
      </w:r>
      <w:r>
        <w:rPr>
          <w:rFonts w:hint="eastAsia" w:ascii="仿宋_GB2312" w:hAnsi="仿宋" w:eastAsia="仿宋_GB2312"/>
          <w:color w:val="auto"/>
          <w:kern w:val="2"/>
          <w:sz w:val="32"/>
          <w:szCs w:val="32"/>
        </w:rPr>
        <w:t>》的预审意见</w:t>
      </w:r>
      <w:r>
        <w:rPr>
          <w:rFonts w:hint="eastAsia" w:ascii="仿宋_GB2312" w:hAnsi="仿宋" w:eastAsia="仿宋_GB2312"/>
          <w:color w:val="auto"/>
          <w:kern w:val="2"/>
          <w:sz w:val="32"/>
          <w:szCs w:val="32"/>
          <w:lang w:eastAsia="zh-CN"/>
        </w:rPr>
        <w:t>、汉寿县发展和改革局出具的可行性研究报告的批复和调整相关内容的通知</w:t>
      </w:r>
      <w:r>
        <w:rPr>
          <w:rFonts w:hint="eastAsia" w:ascii="仿宋_GB2312" w:hAnsi="仿宋" w:eastAsia="仿宋_GB2312"/>
          <w:color w:val="auto"/>
          <w:kern w:val="2"/>
          <w:sz w:val="32"/>
          <w:szCs w:val="32"/>
        </w:rPr>
        <w:t>（</w:t>
      </w:r>
      <w:r>
        <w:rPr>
          <w:rFonts w:hint="eastAsia" w:ascii="仿宋_GB2312" w:hAnsi="仿宋" w:eastAsia="仿宋_GB2312"/>
          <w:color w:val="auto"/>
          <w:kern w:val="2"/>
          <w:sz w:val="32"/>
          <w:szCs w:val="32"/>
          <w:lang w:eastAsia="zh-CN"/>
        </w:rPr>
        <w:t>汉发改审批</w:t>
      </w:r>
      <w:r>
        <w:rPr>
          <w:rFonts w:hint="eastAsia" w:ascii="仿宋_GB2312" w:hAnsi="仿宋" w:eastAsia="仿宋_GB2312"/>
          <w:color w:val="auto"/>
          <w:kern w:val="2"/>
          <w:sz w:val="32"/>
          <w:szCs w:val="32"/>
          <w:lang w:val="en-US" w:eastAsia="zh-CN"/>
        </w:rPr>
        <w:t>[2024]297号、</w:t>
      </w:r>
      <w:r>
        <w:rPr>
          <w:rFonts w:hint="eastAsia" w:ascii="仿宋_GB2312" w:hAnsi="仿宋" w:eastAsia="仿宋_GB2312"/>
          <w:color w:val="auto"/>
          <w:kern w:val="2"/>
          <w:sz w:val="32"/>
          <w:szCs w:val="32"/>
          <w:lang w:eastAsia="zh-CN"/>
        </w:rPr>
        <w:t>汉发改审批</w:t>
      </w:r>
      <w:r>
        <w:rPr>
          <w:rFonts w:hint="eastAsia" w:ascii="仿宋_GB2312" w:hAnsi="仿宋" w:eastAsia="仿宋_GB2312"/>
          <w:color w:val="auto"/>
          <w:kern w:val="2"/>
          <w:sz w:val="32"/>
          <w:szCs w:val="32"/>
          <w:lang w:val="en-US" w:eastAsia="zh-CN"/>
        </w:rPr>
        <w:t>[2025]69号、</w:t>
      </w:r>
      <w:r>
        <w:rPr>
          <w:rFonts w:hint="eastAsia" w:ascii="仿宋_GB2312" w:hAnsi="仿宋" w:eastAsia="仿宋_GB2312"/>
          <w:color w:val="auto"/>
          <w:kern w:val="2"/>
          <w:sz w:val="32"/>
          <w:szCs w:val="32"/>
          <w:lang w:eastAsia="zh-CN"/>
        </w:rPr>
        <w:t>汉发改审批</w:t>
      </w:r>
      <w:r>
        <w:rPr>
          <w:rFonts w:hint="eastAsia" w:ascii="仿宋_GB2312" w:hAnsi="仿宋" w:eastAsia="仿宋_GB2312"/>
          <w:color w:val="auto"/>
          <w:kern w:val="2"/>
          <w:sz w:val="32"/>
          <w:szCs w:val="32"/>
          <w:lang w:val="en-US" w:eastAsia="zh-CN"/>
        </w:rPr>
        <w:t>[2025]246号；</w:t>
      </w:r>
      <w:r>
        <w:rPr>
          <w:rFonts w:hint="eastAsia" w:ascii="仿宋_GB2312" w:hAnsi="仿宋" w:eastAsia="仿宋_GB2312"/>
          <w:color w:val="auto"/>
          <w:kern w:val="2"/>
          <w:sz w:val="32"/>
          <w:szCs w:val="32"/>
        </w:rPr>
        <w:t>项目代码：2</w:t>
      </w:r>
      <w:r>
        <w:rPr>
          <w:rFonts w:hint="eastAsia" w:ascii="仿宋_GB2312" w:hAnsi="仿宋" w:eastAsia="仿宋_GB2312"/>
          <w:color w:val="auto"/>
          <w:kern w:val="2"/>
          <w:sz w:val="32"/>
          <w:szCs w:val="32"/>
          <w:lang w:val="en-US" w:eastAsia="zh-CN"/>
        </w:rPr>
        <w:t>412</w:t>
      </w:r>
      <w:r>
        <w:rPr>
          <w:rFonts w:hint="eastAsia" w:ascii="仿宋_GB2312" w:hAnsi="仿宋" w:eastAsia="仿宋_GB2312"/>
          <w:color w:val="auto"/>
          <w:kern w:val="2"/>
          <w:sz w:val="32"/>
          <w:szCs w:val="32"/>
        </w:rPr>
        <w:t>-4307</w:t>
      </w:r>
      <w:r>
        <w:rPr>
          <w:rFonts w:hint="eastAsia" w:ascii="仿宋_GB2312" w:hAnsi="仿宋" w:eastAsia="仿宋_GB2312"/>
          <w:color w:val="auto"/>
          <w:kern w:val="2"/>
          <w:sz w:val="32"/>
          <w:szCs w:val="32"/>
          <w:lang w:val="en-US" w:eastAsia="zh-CN"/>
        </w:rPr>
        <w:t>22</w:t>
      </w:r>
      <w:r>
        <w:rPr>
          <w:rFonts w:hint="eastAsia" w:ascii="仿宋_GB2312" w:hAnsi="仿宋" w:eastAsia="仿宋_GB2312"/>
          <w:color w:val="auto"/>
          <w:kern w:val="2"/>
          <w:sz w:val="32"/>
          <w:szCs w:val="32"/>
        </w:rPr>
        <w:t>-04-0</w:t>
      </w:r>
      <w:r>
        <w:rPr>
          <w:rFonts w:hint="eastAsia" w:ascii="仿宋_GB2312" w:hAnsi="仿宋" w:eastAsia="仿宋_GB2312"/>
          <w:color w:val="auto"/>
          <w:kern w:val="2"/>
          <w:sz w:val="32"/>
          <w:szCs w:val="32"/>
          <w:lang w:val="en-US" w:eastAsia="zh-CN"/>
        </w:rPr>
        <w:t>1</w:t>
      </w:r>
      <w:r>
        <w:rPr>
          <w:rFonts w:hint="eastAsia" w:ascii="仿宋_GB2312" w:hAnsi="仿宋" w:eastAsia="仿宋_GB2312"/>
          <w:color w:val="auto"/>
          <w:kern w:val="2"/>
          <w:sz w:val="32"/>
          <w:szCs w:val="32"/>
        </w:rPr>
        <w:t>-</w:t>
      </w:r>
      <w:r>
        <w:rPr>
          <w:rFonts w:hint="eastAsia" w:ascii="仿宋_GB2312" w:hAnsi="仿宋" w:eastAsia="仿宋_GB2312"/>
          <w:color w:val="auto"/>
          <w:kern w:val="2"/>
          <w:sz w:val="32"/>
          <w:szCs w:val="32"/>
          <w:lang w:val="en-US" w:eastAsia="zh-CN"/>
        </w:rPr>
        <w:t>527869</w:t>
      </w:r>
      <w:r>
        <w:rPr>
          <w:rFonts w:hint="eastAsia" w:ascii="仿宋_GB2312" w:hAnsi="仿宋" w:eastAsia="仿宋_GB2312"/>
          <w:color w:val="auto"/>
          <w:kern w:val="2"/>
          <w:sz w:val="32"/>
          <w:szCs w:val="32"/>
        </w:rPr>
        <w:t>）及《报告</w:t>
      </w:r>
      <w:r>
        <w:rPr>
          <w:rFonts w:hint="eastAsia" w:ascii="仿宋_GB2312" w:hAnsi="仿宋" w:eastAsia="仿宋_GB2312"/>
          <w:color w:val="auto"/>
          <w:kern w:val="2"/>
          <w:sz w:val="32"/>
          <w:szCs w:val="32"/>
          <w:lang w:eastAsia="zh-CN"/>
        </w:rPr>
        <w:t>书</w:t>
      </w:r>
      <w:r>
        <w:rPr>
          <w:rFonts w:hint="eastAsia" w:ascii="仿宋_GB2312" w:hAnsi="仿宋" w:eastAsia="仿宋_GB2312"/>
          <w:color w:val="auto"/>
          <w:kern w:val="2"/>
          <w:sz w:val="32"/>
          <w:szCs w:val="32"/>
        </w:rPr>
        <w:t>》网上公示期间未收到反馈意见的情况。经研究，批复如下：</w:t>
      </w:r>
    </w:p>
    <w:p>
      <w:pPr>
        <w:widowControl w:val="0"/>
        <w:spacing w:after="0" w:line="560" w:lineRule="exact"/>
        <w:ind w:firstLine="640" w:firstLineChars="200"/>
        <w:jc w:val="both"/>
        <w:rPr>
          <w:rFonts w:hint="eastAsia" w:ascii="仿宋_GB2312" w:hAnsi="仿宋" w:eastAsia="仿宋_GB2312"/>
          <w:color w:val="auto"/>
          <w:kern w:val="2"/>
          <w:sz w:val="32"/>
          <w:szCs w:val="32"/>
        </w:rPr>
      </w:pPr>
      <w:r>
        <w:rPr>
          <w:rFonts w:hint="eastAsia" w:ascii="仿宋_GB2312" w:hAnsi="仿宋" w:eastAsia="仿宋_GB2312"/>
          <w:color w:val="auto"/>
          <w:kern w:val="2"/>
          <w:sz w:val="32"/>
          <w:szCs w:val="32"/>
        </w:rPr>
        <w:t>一、基本情况及总体意见</w:t>
      </w:r>
    </w:p>
    <w:p>
      <w:pPr>
        <w:widowControl w:val="0"/>
        <w:spacing w:after="0" w:line="560" w:lineRule="exact"/>
        <w:ind w:firstLine="640" w:firstLineChars="200"/>
        <w:jc w:val="both"/>
        <w:rPr>
          <w:rFonts w:hint="default" w:ascii="仿宋_GB2312" w:hAnsi="仿宋" w:eastAsia="仿宋_GB2312"/>
          <w:color w:val="FF0000"/>
          <w:kern w:val="2"/>
          <w:sz w:val="32"/>
          <w:szCs w:val="32"/>
          <w:lang w:val="en-US" w:eastAsia="zh-CN"/>
        </w:rPr>
      </w:pPr>
      <w:r>
        <w:rPr>
          <w:rFonts w:hint="eastAsia" w:ascii="仿宋_GB2312" w:hAnsi="仿宋" w:eastAsia="仿宋_GB2312"/>
          <w:color w:val="auto"/>
          <w:kern w:val="2"/>
          <w:sz w:val="32"/>
          <w:szCs w:val="32"/>
          <w:lang w:val="en-US" w:eastAsia="zh-CN"/>
        </w:rPr>
        <w:t>本项目位于常德市汉寿高新区规划麒麟大道与金福路交汇处(东经：111度54分39.512秒，北纬：28度48分8.112秒)。</w:t>
      </w:r>
      <w:r>
        <w:rPr>
          <w:rFonts w:hint="eastAsia" w:ascii="仿宋" w:hAnsi="仿宋" w:eastAsia="仿宋" w:cs="仿宋"/>
          <w:b w:val="0"/>
          <w:bCs w:val="0"/>
          <w:color w:val="000000"/>
          <w:sz w:val="32"/>
          <w:szCs w:val="32"/>
          <w:lang w:val="en-US" w:eastAsia="zh-CN"/>
        </w:rPr>
        <w:t>项目分两部分建设，第一部分为废水处理规模为0.5万立方米/日的污水处理生产线及配套辅助设施（含3.5千米尾水排放管道），第二部分为废水处理规模为0.5万立方米/日的污水处理生产线及配套辅助设施，两部分并联运行，总计废水处理规模为1万立方米/日。项目主要处理汉寿高新区化工片区拓展发展区和已建限制发展区的化工企业工业废水、生活污水和其他废水，具体纳污范围为:</w:t>
      </w:r>
      <w:r>
        <w:rPr>
          <w:rFonts w:hint="eastAsia" w:ascii="仿宋" w:hAnsi="仿宋" w:eastAsia="仿宋" w:cs="仿宋"/>
          <w:b w:val="0"/>
          <w:bCs w:val="0"/>
          <w:color w:val="000000"/>
          <w:sz w:val="32"/>
          <w:szCs w:val="32"/>
          <w:lang w:val="en-US" w:eastAsia="zh-CN"/>
        </w:rPr>
        <w:fldChar w:fldCharType="begin"/>
      </w:r>
      <w:r>
        <w:rPr>
          <w:rFonts w:hint="eastAsia" w:ascii="仿宋" w:hAnsi="仿宋" w:eastAsia="仿宋" w:cs="仿宋"/>
          <w:b w:val="0"/>
          <w:bCs w:val="0"/>
          <w:color w:val="000000"/>
          <w:sz w:val="32"/>
          <w:szCs w:val="32"/>
          <w:lang w:val="en-US" w:eastAsia="zh-CN"/>
        </w:rPr>
        <w:instrText xml:space="preserve"> = 1 \* GB3 \* MERGEFORMAT </w:instrText>
      </w:r>
      <w:r>
        <w:rPr>
          <w:rFonts w:hint="eastAsia" w:ascii="仿宋" w:hAnsi="仿宋" w:eastAsia="仿宋" w:cs="仿宋"/>
          <w:b w:val="0"/>
          <w:bCs w:val="0"/>
          <w:color w:val="000000"/>
          <w:sz w:val="32"/>
          <w:szCs w:val="32"/>
          <w:lang w:val="en-US" w:eastAsia="zh-CN"/>
        </w:rPr>
        <w:fldChar w:fldCharType="separate"/>
      </w:r>
      <w:r>
        <w:rPr>
          <w:rFonts w:hint="eastAsia" w:ascii="仿宋" w:hAnsi="仿宋" w:eastAsia="仿宋" w:cs="仿宋"/>
          <w:b w:val="0"/>
          <w:bCs w:val="0"/>
          <w:color w:val="000000"/>
          <w:sz w:val="32"/>
          <w:szCs w:val="32"/>
          <w:lang w:val="en-US" w:eastAsia="zh-CN"/>
        </w:rPr>
        <w:t>①</w:t>
      </w:r>
      <w:r>
        <w:rPr>
          <w:rFonts w:hint="eastAsia" w:ascii="仿宋" w:hAnsi="仿宋" w:eastAsia="仿宋" w:cs="仿宋"/>
          <w:b w:val="0"/>
          <w:bCs w:val="0"/>
          <w:color w:val="000000"/>
          <w:sz w:val="32"/>
          <w:szCs w:val="32"/>
          <w:lang w:val="en-US" w:eastAsia="zh-CN"/>
        </w:rPr>
        <w:fldChar w:fldCharType="end"/>
      </w:r>
      <w:r>
        <w:rPr>
          <w:rFonts w:hint="eastAsia" w:ascii="仿宋" w:hAnsi="仿宋" w:eastAsia="仿宋" w:cs="仿宋"/>
          <w:b w:val="0"/>
          <w:bCs w:val="0"/>
          <w:color w:val="000000"/>
          <w:sz w:val="32"/>
          <w:szCs w:val="32"/>
          <w:lang w:val="en-US" w:eastAsia="zh-CN"/>
        </w:rPr>
        <w:t>拓展发展区：东至洞庭大道以西，南至麒麟大道（GB319国道），西至金凤路，北至龙腾路；</w:t>
      </w:r>
      <w:r>
        <w:rPr>
          <w:rFonts w:hint="eastAsia" w:ascii="仿宋" w:hAnsi="仿宋" w:eastAsia="仿宋" w:cs="仿宋"/>
          <w:b w:val="0"/>
          <w:bCs w:val="0"/>
          <w:color w:val="000000"/>
          <w:sz w:val="32"/>
          <w:szCs w:val="32"/>
          <w:lang w:val="en-US" w:eastAsia="zh-CN"/>
        </w:rPr>
        <w:fldChar w:fldCharType="begin"/>
      </w:r>
      <w:r>
        <w:rPr>
          <w:rFonts w:hint="eastAsia" w:ascii="仿宋" w:hAnsi="仿宋" w:eastAsia="仿宋" w:cs="仿宋"/>
          <w:b w:val="0"/>
          <w:bCs w:val="0"/>
          <w:color w:val="000000"/>
          <w:sz w:val="32"/>
          <w:szCs w:val="32"/>
          <w:lang w:val="en-US" w:eastAsia="zh-CN"/>
        </w:rPr>
        <w:instrText xml:space="preserve"> = 2 \* GB3 \* MERGEFORMAT </w:instrText>
      </w:r>
      <w:r>
        <w:rPr>
          <w:rFonts w:hint="eastAsia" w:ascii="仿宋" w:hAnsi="仿宋" w:eastAsia="仿宋" w:cs="仿宋"/>
          <w:b w:val="0"/>
          <w:bCs w:val="0"/>
          <w:color w:val="000000"/>
          <w:sz w:val="32"/>
          <w:szCs w:val="32"/>
          <w:lang w:val="en-US" w:eastAsia="zh-CN"/>
        </w:rPr>
        <w:fldChar w:fldCharType="separate"/>
      </w:r>
      <w:r>
        <w:rPr>
          <w:rFonts w:hint="eastAsia" w:ascii="仿宋" w:hAnsi="仿宋" w:eastAsia="仿宋" w:cs="仿宋"/>
          <w:b w:val="0"/>
          <w:bCs w:val="0"/>
          <w:color w:val="000000"/>
          <w:sz w:val="32"/>
          <w:szCs w:val="32"/>
          <w:lang w:val="en-US" w:eastAsia="zh-CN"/>
        </w:rPr>
        <w:t>②</w:t>
      </w:r>
      <w:r>
        <w:rPr>
          <w:rFonts w:hint="eastAsia" w:ascii="仿宋" w:hAnsi="仿宋" w:eastAsia="仿宋" w:cs="仿宋"/>
          <w:b w:val="0"/>
          <w:bCs w:val="0"/>
          <w:color w:val="000000"/>
          <w:sz w:val="32"/>
          <w:szCs w:val="32"/>
          <w:lang w:val="en-US" w:eastAsia="zh-CN"/>
        </w:rPr>
        <w:fldChar w:fldCharType="end"/>
      </w:r>
      <w:r>
        <w:rPr>
          <w:rFonts w:hint="eastAsia" w:ascii="仿宋" w:hAnsi="仿宋" w:eastAsia="仿宋" w:cs="仿宋"/>
          <w:b w:val="0"/>
          <w:bCs w:val="0"/>
          <w:color w:val="000000"/>
          <w:sz w:val="32"/>
          <w:szCs w:val="32"/>
          <w:lang w:val="en-US" w:eastAsia="zh-CN"/>
        </w:rPr>
        <w:t>已建限制发展区：东至金鹰路，南至麒麟大道（GB319国道），西至规划金福路，北至沿路大道。项目服务范围内化工企业废水采取“一企一管”方式排入本项目污水处理厂</w:t>
      </w:r>
      <w:r>
        <w:rPr>
          <w:rFonts w:hint="eastAsia" w:ascii="仿宋_GB2312" w:hAnsi="仿宋" w:eastAsia="仿宋_GB2312"/>
          <w:color w:val="auto"/>
          <w:kern w:val="2"/>
          <w:sz w:val="32"/>
          <w:szCs w:val="32"/>
          <w:lang w:val="en-US" w:eastAsia="zh-CN"/>
        </w:rPr>
        <w:t>，本项目不包括企业进水管道建设内容。项目采用“粗格栅+预处理组合池（细格栅+沉砂池+调节池+混合池+絮凝池+混凝沉淀池）+1#臭氧氧化池（预处理）+水解酸化池+A/O生化池+二沉池+高效沉淀池+2#臭氧氧化池（深度处理）+BAF池（硝化滤池+反硝化滤池）+臭氧消毒池+外排水池”污水处理工艺。项目主要建设内容包括：粗格栅、预处理组合池、1#臭氧氧化池、水解酸化池及生物池、二沉池及污泥泵站、高效沉淀池、2#臭氧氧化池、BAF池及配套用房、消毒池及外排水池、污泥浓缩池、鼓风机房及变配电间、加药间及污泥脱水机房、臭氧制备间及液氧站、进出水水质监测间、生产管理用房等及其他配套设施和辅助工程。</w:t>
      </w:r>
      <w:r>
        <w:rPr>
          <w:rFonts w:hint="eastAsia" w:ascii="仿宋_GB2312" w:hAnsi="仿宋" w:eastAsia="仿宋_GB2312"/>
          <w:color w:val="auto"/>
          <w:kern w:val="2"/>
          <w:sz w:val="32"/>
          <w:szCs w:val="32"/>
        </w:rPr>
        <w:t>项目</w:t>
      </w:r>
      <w:r>
        <w:rPr>
          <w:rFonts w:hint="eastAsia" w:ascii="仿宋_GB2312" w:hAnsi="仿宋" w:eastAsia="仿宋_GB2312"/>
          <w:color w:val="auto"/>
          <w:kern w:val="2"/>
          <w:sz w:val="32"/>
          <w:szCs w:val="32"/>
          <w:lang w:val="en-US" w:eastAsia="zh-CN"/>
        </w:rPr>
        <w:t>总占地面积</w:t>
      </w:r>
      <w:r>
        <w:rPr>
          <w:rFonts w:hint="default" w:ascii="仿宋_GB2312" w:hAnsi="仿宋" w:eastAsia="仿宋_GB2312"/>
          <w:color w:val="auto"/>
          <w:kern w:val="2"/>
          <w:sz w:val="32"/>
          <w:szCs w:val="32"/>
          <w:lang w:val="en-US" w:eastAsia="zh-CN"/>
        </w:rPr>
        <w:t>21797.42</w:t>
      </w:r>
      <w:r>
        <w:rPr>
          <w:rFonts w:hint="eastAsia" w:ascii="仿宋_GB2312" w:hAnsi="仿宋" w:eastAsia="仿宋_GB2312"/>
          <w:color w:val="auto"/>
          <w:kern w:val="2"/>
          <w:sz w:val="32"/>
          <w:szCs w:val="32"/>
          <w:lang w:val="en-US" w:eastAsia="zh-CN"/>
        </w:rPr>
        <w:t>平方米，项目</w:t>
      </w:r>
      <w:r>
        <w:rPr>
          <w:rFonts w:hint="eastAsia" w:ascii="仿宋_GB2312" w:hAnsi="仿宋" w:eastAsia="仿宋_GB2312"/>
          <w:color w:val="auto"/>
          <w:kern w:val="2"/>
          <w:sz w:val="32"/>
          <w:szCs w:val="32"/>
        </w:rPr>
        <w:t>总投资</w:t>
      </w:r>
      <w:r>
        <w:rPr>
          <w:rFonts w:hint="eastAsia" w:ascii="仿宋_GB2312" w:hAnsi="仿宋" w:eastAsia="仿宋_GB2312"/>
          <w:color w:val="auto"/>
          <w:kern w:val="2"/>
          <w:sz w:val="32"/>
          <w:szCs w:val="32"/>
          <w:lang w:val="en-US" w:eastAsia="zh-CN"/>
        </w:rPr>
        <w:t>14324</w:t>
      </w:r>
      <w:r>
        <w:rPr>
          <w:rFonts w:hint="eastAsia" w:ascii="仿宋_GB2312" w:hAnsi="仿宋" w:eastAsia="仿宋_GB2312"/>
          <w:color w:val="auto"/>
          <w:kern w:val="2"/>
          <w:sz w:val="32"/>
          <w:szCs w:val="32"/>
        </w:rPr>
        <w:t>万元，</w:t>
      </w:r>
      <w:r>
        <w:rPr>
          <w:rFonts w:hint="eastAsia" w:ascii="仿宋_GB2312" w:hAnsi="仿宋" w:eastAsia="仿宋_GB2312"/>
          <w:color w:val="auto"/>
          <w:kern w:val="2"/>
          <w:sz w:val="32"/>
          <w:szCs w:val="32"/>
          <w:lang w:eastAsia="zh-CN"/>
        </w:rPr>
        <w:t>全部属于环保投资</w:t>
      </w:r>
      <w:r>
        <w:rPr>
          <w:rFonts w:hint="eastAsia" w:ascii="仿宋_GB2312" w:hAnsi="仿宋" w:eastAsia="仿宋_GB2312"/>
          <w:color w:val="auto"/>
          <w:kern w:val="2"/>
          <w:sz w:val="32"/>
          <w:szCs w:val="32"/>
          <w:lang w:val="en-US" w:eastAsia="zh-CN"/>
        </w:rPr>
        <w:t>。</w:t>
      </w:r>
    </w:p>
    <w:p>
      <w:pPr>
        <w:widowControl w:val="0"/>
        <w:spacing w:after="0" w:line="560" w:lineRule="exact"/>
        <w:ind w:firstLine="640" w:firstLineChars="200"/>
        <w:jc w:val="both"/>
        <w:rPr>
          <w:rFonts w:hint="eastAsia" w:ascii="仿宋_GB2312" w:hAnsi="仿宋" w:eastAsia="仿宋_GB2312"/>
          <w:color w:val="auto"/>
          <w:kern w:val="2"/>
          <w:sz w:val="32"/>
          <w:szCs w:val="32"/>
        </w:rPr>
      </w:pPr>
      <w:r>
        <w:rPr>
          <w:rFonts w:hint="eastAsia" w:ascii="仿宋_GB2312" w:hAnsi="仿宋" w:eastAsia="仿宋_GB2312"/>
          <w:color w:val="auto"/>
          <w:kern w:val="2"/>
          <w:sz w:val="32"/>
          <w:szCs w:val="32"/>
        </w:rPr>
        <w:t>根据《报告</w:t>
      </w:r>
      <w:r>
        <w:rPr>
          <w:rFonts w:hint="eastAsia" w:ascii="仿宋_GB2312" w:hAnsi="仿宋" w:eastAsia="仿宋_GB2312"/>
          <w:color w:val="auto"/>
          <w:kern w:val="2"/>
          <w:sz w:val="32"/>
          <w:szCs w:val="32"/>
          <w:lang w:eastAsia="zh-CN"/>
        </w:rPr>
        <w:t>书</w:t>
      </w:r>
      <w:r>
        <w:rPr>
          <w:rFonts w:hint="eastAsia" w:ascii="仿宋_GB2312" w:hAnsi="仿宋" w:eastAsia="仿宋_GB2312"/>
          <w:color w:val="auto"/>
          <w:kern w:val="2"/>
          <w:sz w:val="32"/>
          <w:szCs w:val="32"/>
        </w:rPr>
        <w:t>》结论、</w:t>
      </w:r>
      <w:r>
        <w:rPr>
          <w:rFonts w:hint="eastAsia" w:ascii="仿宋_GB2312" w:hAnsi="仿宋" w:eastAsia="仿宋_GB2312"/>
          <w:color w:val="auto"/>
          <w:kern w:val="2"/>
          <w:sz w:val="32"/>
          <w:szCs w:val="32"/>
          <w:lang w:eastAsia="zh-CN"/>
        </w:rPr>
        <w:t>技术评估报告</w:t>
      </w:r>
      <w:r>
        <w:rPr>
          <w:rFonts w:hint="eastAsia" w:ascii="仿宋_GB2312" w:hAnsi="仿宋" w:eastAsia="仿宋_GB2312"/>
          <w:color w:val="auto"/>
          <w:kern w:val="2"/>
          <w:sz w:val="32"/>
          <w:szCs w:val="32"/>
        </w:rPr>
        <w:t>及常德市生态环境局</w:t>
      </w:r>
      <w:r>
        <w:rPr>
          <w:rFonts w:hint="eastAsia" w:ascii="仿宋_GB2312" w:hAnsi="仿宋" w:eastAsia="仿宋_GB2312"/>
          <w:color w:val="auto"/>
          <w:kern w:val="2"/>
          <w:sz w:val="32"/>
          <w:szCs w:val="32"/>
          <w:lang w:eastAsia="zh-CN"/>
        </w:rPr>
        <w:t>汉寿</w:t>
      </w:r>
      <w:r>
        <w:rPr>
          <w:rFonts w:hint="eastAsia" w:ascii="仿宋_GB2312" w:hAnsi="仿宋" w:eastAsia="仿宋_GB2312"/>
          <w:color w:val="auto"/>
          <w:kern w:val="2"/>
          <w:sz w:val="32"/>
          <w:szCs w:val="32"/>
        </w:rPr>
        <w:t>分局的预审意见，</w:t>
      </w:r>
      <w:r>
        <w:rPr>
          <w:rFonts w:hint="eastAsia" w:ascii="仿宋_GB2312" w:hAnsi="仿宋" w:eastAsia="仿宋_GB2312"/>
          <w:color w:val="auto"/>
          <w:kern w:val="2"/>
          <w:sz w:val="32"/>
          <w:szCs w:val="32"/>
          <w:lang w:eastAsia="zh-CN"/>
        </w:rPr>
        <w:t>同时根据汉寿县发展和改革局</w:t>
      </w:r>
      <w:r>
        <w:rPr>
          <w:rFonts w:hint="eastAsia" w:ascii="仿宋_GB2312" w:hAnsi="仿宋" w:eastAsia="仿宋_GB2312"/>
          <w:color w:val="000000" w:themeColor="text1"/>
          <w:kern w:val="2"/>
          <w:sz w:val="32"/>
          <w:szCs w:val="32"/>
          <w:lang w:eastAsia="zh-CN"/>
          <w14:textFill>
            <w14:solidFill>
              <w14:schemeClr w14:val="tx1"/>
            </w14:solidFill>
          </w14:textFill>
        </w:rPr>
        <w:t>、汉寿县住房和城乡建设局、汉寿县自然资源局等部门意见，</w:t>
      </w:r>
      <w:r>
        <w:rPr>
          <w:rFonts w:hint="eastAsia" w:ascii="仿宋_GB2312" w:hAnsi="仿宋" w:eastAsia="仿宋_GB2312"/>
          <w:color w:val="auto"/>
          <w:kern w:val="2"/>
          <w:sz w:val="32"/>
          <w:szCs w:val="32"/>
        </w:rPr>
        <w:t>项目符合国家产业政策</w:t>
      </w:r>
      <w:r>
        <w:rPr>
          <w:rFonts w:hint="eastAsia" w:ascii="仿宋_GB2312" w:hAnsi="仿宋" w:eastAsia="仿宋_GB2312"/>
          <w:color w:val="auto"/>
          <w:kern w:val="2"/>
          <w:sz w:val="32"/>
          <w:szCs w:val="32"/>
          <w:lang w:eastAsia="zh-CN"/>
        </w:rPr>
        <w:t>和相关规划要求，</w:t>
      </w:r>
      <w:r>
        <w:rPr>
          <w:rFonts w:hint="eastAsia" w:ascii="仿宋_GB2312" w:hAnsi="仿宋" w:eastAsia="仿宋_GB2312"/>
          <w:color w:val="auto"/>
          <w:kern w:val="2"/>
          <w:sz w:val="32"/>
          <w:szCs w:val="32"/>
        </w:rPr>
        <w:t>符合《湖南省生态环境分区管控总体管控要求暨省级以上产业园区生态环境准入清单》（湘环函〔2024〕26号）中明确的生态环境分区管控及生态环境准入清单要求</w:t>
      </w:r>
      <w:r>
        <w:rPr>
          <w:rFonts w:hint="eastAsia" w:ascii="仿宋_GB2312" w:hAnsi="仿宋" w:eastAsia="仿宋_GB2312"/>
          <w:color w:val="auto"/>
          <w:kern w:val="2"/>
          <w:sz w:val="32"/>
          <w:szCs w:val="32"/>
          <w:lang w:eastAsia="zh-CN"/>
        </w:rPr>
        <w:t>。</w:t>
      </w:r>
      <w:r>
        <w:rPr>
          <w:rFonts w:hint="eastAsia" w:ascii="仿宋_GB2312" w:hAnsi="仿宋" w:eastAsia="仿宋_GB2312"/>
          <w:color w:val="auto"/>
          <w:kern w:val="2"/>
          <w:sz w:val="32"/>
          <w:szCs w:val="32"/>
        </w:rPr>
        <w:t>在全面落实《报告</w:t>
      </w:r>
      <w:r>
        <w:rPr>
          <w:rFonts w:hint="eastAsia" w:ascii="仿宋_GB2312" w:hAnsi="仿宋" w:eastAsia="仿宋_GB2312"/>
          <w:color w:val="auto"/>
          <w:kern w:val="2"/>
          <w:sz w:val="32"/>
          <w:szCs w:val="32"/>
          <w:lang w:eastAsia="zh-CN"/>
        </w:rPr>
        <w:t>书</w:t>
      </w:r>
      <w:r>
        <w:rPr>
          <w:rFonts w:hint="eastAsia" w:ascii="仿宋_GB2312" w:hAnsi="仿宋" w:eastAsia="仿宋_GB2312"/>
          <w:color w:val="auto"/>
          <w:kern w:val="2"/>
          <w:sz w:val="32"/>
          <w:szCs w:val="32"/>
        </w:rPr>
        <w:t>》及批复提出的各项污染防治措施、</w:t>
      </w:r>
      <w:r>
        <w:rPr>
          <w:rFonts w:hint="eastAsia" w:ascii="仿宋_GB2312" w:hAnsi="仿宋" w:eastAsia="仿宋_GB2312"/>
          <w:color w:val="auto"/>
          <w:kern w:val="2"/>
          <w:sz w:val="32"/>
          <w:szCs w:val="32"/>
          <w:lang w:val="en-US" w:eastAsia="zh-CN"/>
        </w:rPr>
        <w:t>环境风险防范措施、</w:t>
      </w:r>
      <w:r>
        <w:rPr>
          <w:rFonts w:hint="eastAsia" w:ascii="仿宋_GB2312" w:hAnsi="仿宋" w:eastAsia="仿宋_GB2312"/>
          <w:color w:val="auto"/>
          <w:kern w:val="2"/>
          <w:sz w:val="32"/>
          <w:szCs w:val="32"/>
        </w:rPr>
        <w:t>确保各项污染物稳定达标排放的前提下，</w:t>
      </w:r>
      <w:r>
        <w:rPr>
          <w:rFonts w:hint="eastAsia" w:ascii="仿宋_GB2312" w:hAnsi="仿宋" w:eastAsia="仿宋_GB2312"/>
          <w:color w:val="auto"/>
          <w:kern w:val="2"/>
          <w:sz w:val="32"/>
          <w:szCs w:val="32"/>
          <w:lang w:val="en-US" w:eastAsia="zh-CN"/>
        </w:rPr>
        <w:t>从环境保护角度</w:t>
      </w:r>
      <w:r>
        <w:rPr>
          <w:rFonts w:hint="eastAsia" w:ascii="仿宋_GB2312" w:hAnsi="仿宋" w:eastAsia="仿宋_GB2312"/>
          <w:color w:val="auto"/>
          <w:kern w:val="2"/>
          <w:sz w:val="32"/>
          <w:szCs w:val="32"/>
        </w:rPr>
        <w:t>我局原则同意项目建设。</w:t>
      </w:r>
    </w:p>
    <w:p>
      <w:pPr>
        <w:widowControl w:val="0"/>
        <w:numPr>
          <w:ilvl w:val="0"/>
          <w:numId w:val="1"/>
        </w:numPr>
        <w:spacing w:after="0" w:line="560" w:lineRule="exact"/>
        <w:ind w:firstLine="640" w:firstLineChars="200"/>
        <w:jc w:val="both"/>
        <w:rPr>
          <w:rFonts w:hint="eastAsia"/>
        </w:rPr>
      </w:pPr>
      <w:r>
        <w:rPr>
          <w:rFonts w:hint="eastAsia" w:ascii="仿宋_GB2312" w:hAnsi="仿宋" w:eastAsia="仿宋_GB2312"/>
          <w:color w:val="auto"/>
          <w:kern w:val="2"/>
          <w:sz w:val="32"/>
          <w:szCs w:val="32"/>
        </w:rPr>
        <w:t>项目在</w:t>
      </w:r>
      <w:r>
        <w:rPr>
          <w:rFonts w:hint="eastAsia" w:ascii="仿宋_GB2312" w:hAnsi="仿宋" w:eastAsia="仿宋_GB2312"/>
          <w:color w:val="auto"/>
          <w:kern w:val="2"/>
          <w:sz w:val="32"/>
          <w:szCs w:val="32"/>
          <w:lang w:eastAsia="zh-CN"/>
        </w:rPr>
        <w:t>设计、建设和</w:t>
      </w:r>
      <w:r>
        <w:rPr>
          <w:rFonts w:hint="eastAsia" w:ascii="仿宋_GB2312" w:hAnsi="仿宋" w:eastAsia="仿宋_GB2312"/>
          <w:color w:val="auto"/>
          <w:kern w:val="2"/>
          <w:sz w:val="32"/>
          <w:szCs w:val="32"/>
        </w:rPr>
        <w:t>营运</w:t>
      </w:r>
      <w:r>
        <w:rPr>
          <w:rFonts w:hint="eastAsia" w:ascii="仿宋_GB2312" w:hAnsi="仿宋" w:eastAsia="仿宋_GB2312"/>
          <w:color w:val="auto"/>
          <w:kern w:val="2"/>
          <w:sz w:val="32"/>
          <w:szCs w:val="32"/>
          <w:lang w:eastAsia="zh-CN"/>
        </w:rPr>
        <w:t>服务</w:t>
      </w:r>
      <w:r>
        <w:rPr>
          <w:rFonts w:hint="eastAsia" w:ascii="仿宋_GB2312" w:hAnsi="仿宋" w:eastAsia="仿宋_GB2312"/>
          <w:color w:val="auto"/>
          <w:kern w:val="2"/>
          <w:sz w:val="32"/>
          <w:szCs w:val="32"/>
        </w:rPr>
        <w:t>过程中，须严格落实《报告</w:t>
      </w:r>
      <w:r>
        <w:rPr>
          <w:rFonts w:hint="eastAsia" w:ascii="仿宋_GB2312" w:hAnsi="仿宋" w:eastAsia="仿宋_GB2312"/>
          <w:color w:val="auto"/>
          <w:kern w:val="2"/>
          <w:sz w:val="32"/>
          <w:szCs w:val="32"/>
          <w:lang w:eastAsia="zh-CN"/>
        </w:rPr>
        <w:t>书</w:t>
      </w:r>
      <w:r>
        <w:rPr>
          <w:rFonts w:hint="eastAsia" w:ascii="仿宋_GB2312" w:hAnsi="仿宋" w:eastAsia="仿宋_GB2312"/>
          <w:color w:val="auto"/>
          <w:kern w:val="2"/>
          <w:sz w:val="32"/>
          <w:szCs w:val="32"/>
        </w:rPr>
        <w:t>》提出的各项污染防治措施，着重做好以下工作：</w:t>
      </w:r>
    </w:p>
    <w:p>
      <w:pPr>
        <w:widowControl w:val="0"/>
        <w:numPr>
          <w:ilvl w:val="0"/>
          <w:numId w:val="0"/>
        </w:numPr>
        <w:spacing w:after="0" w:line="560" w:lineRule="exact"/>
        <w:ind w:firstLine="640" w:firstLineChars="200"/>
        <w:jc w:val="both"/>
        <w:rPr>
          <w:rFonts w:hint="eastAsia"/>
        </w:rPr>
      </w:pPr>
      <w:r>
        <w:rPr>
          <w:rFonts w:hint="eastAsia" w:ascii="仿宋_GB2312" w:hAnsi="仿宋" w:eastAsia="仿宋_GB2312"/>
          <w:color w:val="auto"/>
          <w:kern w:val="2"/>
          <w:sz w:val="32"/>
          <w:szCs w:val="32"/>
          <w:lang w:val="en-US" w:eastAsia="zh-CN"/>
        </w:rPr>
        <w:t>（一）加强施工期的环境管理。严格落实施工期各项污染防治措施，减小施工期间施工噪声、废水、废气和固体废物等对周边环境造成的不利影响。加强施工期的水土保持工作，减小施工期水土流失。</w:t>
      </w:r>
    </w:p>
    <w:p>
      <w:pPr>
        <w:widowControl w:val="0"/>
        <w:numPr>
          <w:ilvl w:val="0"/>
          <w:numId w:val="0"/>
        </w:numPr>
        <w:spacing w:after="0" w:line="560" w:lineRule="exact"/>
        <w:ind w:firstLine="640" w:firstLineChars="200"/>
        <w:jc w:val="both"/>
        <w:rPr>
          <w:rFonts w:hint="eastAsia" w:ascii="仿宋_GB2312" w:hAnsi="仿宋" w:eastAsia="仿宋_GB2312"/>
          <w:color w:val="auto"/>
          <w:kern w:val="2"/>
          <w:sz w:val="32"/>
          <w:szCs w:val="32"/>
          <w:lang w:eastAsia="zh-CN"/>
        </w:rPr>
      </w:pPr>
      <w:r>
        <w:rPr>
          <w:rFonts w:hint="eastAsia" w:ascii="仿宋_GB2312" w:hAnsi="仿宋" w:eastAsia="仿宋_GB2312"/>
          <w:color w:val="auto"/>
          <w:kern w:val="2"/>
          <w:sz w:val="32"/>
          <w:szCs w:val="32"/>
          <w:lang w:eastAsia="zh-CN"/>
        </w:rPr>
        <w:t>（二）</w:t>
      </w:r>
      <w:r>
        <w:rPr>
          <w:rFonts w:hint="eastAsia" w:ascii="仿宋_GB2312" w:hAnsi="仿宋" w:eastAsia="仿宋_GB2312"/>
          <w:color w:val="auto"/>
          <w:kern w:val="2"/>
          <w:sz w:val="32"/>
          <w:szCs w:val="32"/>
        </w:rPr>
        <w:t>严格落实</w:t>
      </w:r>
      <w:r>
        <w:rPr>
          <w:rFonts w:hint="eastAsia" w:ascii="仿宋_GB2312" w:hAnsi="仿宋" w:eastAsia="仿宋_GB2312"/>
          <w:color w:val="auto"/>
          <w:kern w:val="2"/>
          <w:sz w:val="32"/>
          <w:szCs w:val="32"/>
          <w:lang w:eastAsia="zh-CN"/>
        </w:rPr>
        <w:t>进水接管管控要求</w:t>
      </w:r>
      <w:r>
        <w:rPr>
          <w:rFonts w:hint="eastAsia" w:ascii="仿宋_GB2312" w:hAnsi="仿宋" w:eastAsia="仿宋_GB2312"/>
          <w:color w:val="auto"/>
          <w:kern w:val="2"/>
          <w:sz w:val="32"/>
          <w:szCs w:val="32"/>
        </w:rPr>
        <w:t>。</w:t>
      </w:r>
      <w:r>
        <w:rPr>
          <w:rFonts w:hint="eastAsia" w:ascii="仿宋_GB2312" w:hAnsi="仿宋" w:eastAsia="仿宋_GB2312"/>
          <w:color w:val="auto"/>
          <w:kern w:val="2"/>
          <w:sz w:val="32"/>
          <w:szCs w:val="32"/>
          <w:lang w:eastAsia="zh-CN"/>
        </w:rPr>
        <w:t>明确接管水质标准，严格管控涉重金属、高盐、新污染物等化工特征污染物接管限值，明确禁止接入废水类别，所有进入污水处理厂的废水必须达到接管要求后方可纳管。建立园区废水溯源、接管监管、异常预警、超标废水切断拒收机制。全面采用“一企一管、专管专用”进水方式，在各排污企业总排口安装在线监测装置，在污水处理厂进水端设置在线监控设施，对关键特征污染物进行监控，实现接管水质全过程可监控、可追溯、可处置。</w:t>
      </w:r>
    </w:p>
    <w:p>
      <w:pPr>
        <w:widowControl w:val="0"/>
        <w:numPr>
          <w:ilvl w:val="0"/>
          <w:numId w:val="0"/>
        </w:numPr>
        <w:spacing w:after="0" w:line="560" w:lineRule="exact"/>
        <w:ind w:firstLine="640" w:firstLineChars="200"/>
        <w:jc w:val="both"/>
        <w:rPr>
          <w:rFonts w:hint="default" w:ascii="仿宋_GB2312" w:hAnsi="仿宋" w:eastAsia="仿宋_GB2312"/>
          <w:color w:val="FF0000"/>
          <w:kern w:val="2"/>
          <w:sz w:val="32"/>
          <w:szCs w:val="32"/>
          <w:lang w:val="en-US" w:eastAsia="zh-CN"/>
        </w:rPr>
      </w:pPr>
      <w:r>
        <w:rPr>
          <w:rFonts w:hint="eastAsia" w:ascii="仿宋_GB2312" w:hAnsi="仿宋" w:eastAsia="仿宋_GB2312"/>
          <w:color w:val="auto"/>
          <w:kern w:val="2"/>
          <w:sz w:val="32"/>
          <w:szCs w:val="32"/>
        </w:rPr>
        <w:t>（</w:t>
      </w:r>
      <w:r>
        <w:rPr>
          <w:rFonts w:hint="eastAsia" w:ascii="仿宋_GB2312" w:hAnsi="仿宋" w:eastAsia="仿宋_GB2312"/>
          <w:color w:val="auto"/>
          <w:kern w:val="2"/>
          <w:sz w:val="32"/>
          <w:szCs w:val="32"/>
          <w:lang w:eastAsia="zh-CN"/>
        </w:rPr>
        <w:t>三</w:t>
      </w:r>
      <w:r>
        <w:rPr>
          <w:rFonts w:hint="eastAsia" w:ascii="仿宋_GB2312" w:hAnsi="仿宋" w:eastAsia="仿宋_GB2312"/>
          <w:color w:val="auto"/>
          <w:kern w:val="2"/>
          <w:sz w:val="32"/>
          <w:szCs w:val="32"/>
        </w:rPr>
        <w:t>）严格落实水污染防治措施。</w:t>
      </w:r>
      <w:r>
        <w:rPr>
          <w:rFonts w:hint="eastAsia" w:ascii="仿宋_GB2312" w:hAnsi="仿宋" w:eastAsia="仿宋_GB2312"/>
          <w:color w:val="auto"/>
          <w:kern w:val="2"/>
          <w:sz w:val="32"/>
          <w:szCs w:val="32"/>
          <w:lang w:eastAsia="zh-CN"/>
        </w:rPr>
        <w:t>加强对污水处理设施的管理和维护，确保污水处理设施稳定高效运行。</w:t>
      </w:r>
      <w:r>
        <w:rPr>
          <w:rFonts w:hint="eastAsia" w:ascii="仿宋_GB2312" w:hAnsi="仿宋" w:eastAsia="仿宋_GB2312"/>
          <w:color w:val="auto"/>
          <w:kern w:val="2"/>
          <w:sz w:val="32"/>
          <w:szCs w:val="32"/>
          <w:lang w:val="en-US" w:eastAsia="zh-CN"/>
        </w:rPr>
        <w:t>项目厂区实行“雨污分流”，污水经处理达标后，尾水经3.5千米专管排入笑藤港河，最终汇入向阳河，尾水排放污染物基本控制项目执行《城镇污水处理厂污染物排放标准》（GB18918-2002）表1一级A标准、表2和表4一级A标准的限值标准及修改单要求；选择控制项目执行《城镇污水处理厂污染物排放标准》（GB18918-2002）表3限值标准及修改单要求</w:t>
      </w:r>
      <w:r>
        <w:rPr>
          <w:rFonts w:hint="eastAsia" w:ascii="仿宋_GB2312" w:hAnsi="仿宋" w:eastAsia="仿宋_GB2312"/>
          <w:color w:val="auto"/>
          <w:kern w:val="2"/>
          <w:sz w:val="32"/>
          <w:szCs w:val="32"/>
          <w:lang w:eastAsia="zh-CN"/>
        </w:rPr>
        <w:t>。加强雨水排口管控，防范事故工况下雨水携带污染物外溢。</w:t>
      </w:r>
    </w:p>
    <w:p>
      <w:pPr>
        <w:widowControl w:val="0"/>
        <w:numPr>
          <w:ilvl w:val="0"/>
          <w:numId w:val="0"/>
        </w:numPr>
        <w:spacing w:after="0" w:line="560" w:lineRule="exact"/>
        <w:ind w:firstLine="640" w:firstLineChars="200"/>
        <w:jc w:val="both"/>
        <w:rPr>
          <w:rFonts w:hint="eastAsia" w:ascii="仿宋_GB2312" w:hAnsi="仿宋" w:eastAsia="仿宋_GB2312"/>
          <w:color w:val="auto"/>
          <w:kern w:val="2"/>
          <w:sz w:val="32"/>
          <w:szCs w:val="32"/>
          <w:lang w:eastAsia="zh-CN"/>
        </w:rPr>
      </w:pPr>
      <w:r>
        <w:rPr>
          <w:rFonts w:hint="eastAsia" w:ascii="仿宋_GB2312" w:hAnsi="仿宋" w:eastAsia="仿宋_GB2312"/>
          <w:color w:val="auto"/>
          <w:kern w:val="2"/>
          <w:sz w:val="32"/>
          <w:szCs w:val="32"/>
        </w:rPr>
        <w:t>（</w:t>
      </w:r>
      <w:r>
        <w:rPr>
          <w:rFonts w:hint="eastAsia" w:ascii="仿宋_GB2312" w:hAnsi="仿宋" w:eastAsia="仿宋_GB2312"/>
          <w:color w:val="auto"/>
          <w:kern w:val="2"/>
          <w:sz w:val="32"/>
          <w:szCs w:val="32"/>
          <w:lang w:eastAsia="zh-CN"/>
        </w:rPr>
        <w:t>四</w:t>
      </w:r>
      <w:r>
        <w:rPr>
          <w:rFonts w:hint="eastAsia" w:ascii="仿宋_GB2312" w:hAnsi="仿宋" w:eastAsia="仿宋_GB2312"/>
          <w:color w:val="auto"/>
          <w:kern w:val="2"/>
          <w:sz w:val="32"/>
          <w:szCs w:val="32"/>
        </w:rPr>
        <w:t>）严格落实</w:t>
      </w:r>
      <w:r>
        <w:rPr>
          <w:rFonts w:hint="eastAsia" w:ascii="仿宋_GB2312" w:hAnsi="仿宋" w:eastAsia="仿宋_GB2312"/>
          <w:color w:val="auto"/>
          <w:kern w:val="2"/>
          <w:sz w:val="32"/>
          <w:szCs w:val="32"/>
          <w:lang w:eastAsia="zh-CN"/>
        </w:rPr>
        <w:t>大气</w:t>
      </w:r>
      <w:r>
        <w:rPr>
          <w:rFonts w:hint="eastAsia" w:ascii="仿宋_GB2312" w:hAnsi="仿宋" w:eastAsia="仿宋_GB2312"/>
          <w:color w:val="auto"/>
          <w:kern w:val="2"/>
          <w:sz w:val="32"/>
          <w:szCs w:val="32"/>
        </w:rPr>
        <w:t>污染防治措施。</w:t>
      </w:r>
      <w:r>
        <w:rPr>
          <w:rFonts w:hint="eastAsia" w:ascii="仿宋_GB2312" w:hAnsi="仿宋" w:eastAsia="仿宋_GB2312"/>
          <w:color w:val="auto"/>
          <w:kern w:val="2"/>
          <w:sz w:val="32"/>
          <w:szCs w:val="32"/>
          <w:lang w:eastAsia="zh-CN"/>
        </w:rPr>
        <w:t>对粗格栅及提升泵房</w:t>
      </w:r>
      <w:r>
        <w:rPr>
          <w:rFonts w:hint="eastAsia" w:ascii="仿宋_GB2312" w:hAnsi="仿宋" w:eastAsia="仿宋_GB2312"/>
          <w:color w:val="auto"/>
          <w:kern w:val="2"/>
          <w:sz w:val="32"/>
          <w:szCs w:val="32"/>
          <w:lang w:val="en-US" w:eastAsia="zh-CN"/>
        </w:rPr>
        <w:t>+细格栅</w:t>
      </w:r>
      <w:r>
        <w:rPr>
          <w:rFonts w:hint="eastAsia" w:ascii="仿宋_GB2312" w:hAnsi="仿宋" w:eastAsia="仿宋_GB2312"/>
          <w:color w:val="auto"/>
          <w:kern w:val="2"/>
          <w:sz w:val="32"/>
          <w:szCs w:val="32"/>
          <w:lang w:eastAsia="zh-CN"/>
        </w:rPr>
        <w:t>、调节池、沉砂池、混合池、絮凝池、混凝沉淀池</w:t>
      </w:r>
      <w:r>
        <w:rPr>
          <w:rFonts w:hint="eastAsia" w:ascii="仿宋_GB2312" w:hAnsi="仿宋" w:eastAsia="仿宋_GB2312"/>
          <w:color w:val="auto"/>
          <w:kern w:val="2"/>
          <w:sz w:val="32"/>
          <w:szCs w:val="32"/>
          <w:lang w:val="en-US" w:eastAsia="zh-CN"/>
        </w:rPr>
        <w:t>+水解酸化池、缺氧池+污泥泵站+污泥调节池、污泥脱水间、转运间</w:t>
      </w:r>
      <w:r>
        <w:rPr>
          <w:rFonts w:hint="eastAsia" w:ascii="仿宋_GB2312" w:hAnsi="仿宋" w:eastAsia="仿宋_GB2312"/>
          <w:color w:val="auto"/>
          <w:kern w:val="2"/>
          <w:sz w:val="32"/>
          <w:szCs w:val="32"/>
          <w:lang w:eastAsia="zh-CN"/>
        </w:rPr>
        <w:t>等污水处理设施采取加盖或厂房密闭等措施，通过强化抽吸负压收集恶臭气体进入“植物除臭剂喷淋</w:t>
      </w:r>
      <w:r>
        <w:rPr>
          <w:rFonts w:hint="eastAsia" w:ascii="仿宋_GB2312" w:hAnsi="仿宋" w:eastAsia="仿宋_GB2312"/>
          <w:color w:val="auto"/>
          <w:kern w:val="2"/>
          <w:sz w:val="32"/>
          <w:szCs w:val="32"/>
          <w:lang w:val="en-US" w:eastAsia="zh-CN"/>
        </w:rPr>
        <w:t>+生物滤池除臭”装置处理，处理达标后的尾气经一根高度为15米的排气筒排放。</w:t>
      </w:r>
      <w:r>
        <w:rPr>
          <w:rFonts w:hint="eastAsia" w:ascii="仿宋_GB2312" w:hAnsi="仿宋" w:eastAsia="仿宋_GB2312"/>
          <w:color w:val="auto"/>
          <w:kern w:val="2"/>
          <w:sz w:val="32"/>
          <w:szCs w:val="32"/>
          <w:lang w:eastAsia="zh-CN"/>
        </w:rPr>
        <w:t>定期喷洒植物液除臭剂，设置绿化隔离带等抑臭、除臭措施，降低恶臭污染物对周围环境的影响。</w:t>
      </w:r>
    </w:p>
    <w:p>
      <w:pPr>
        <w:widowControl w:val="0"/>
        <w:numPr>
          <w:ilvl w:val="0"/>
          <w:numId w:val="0"/>
        </w:numPr>
        <w:spacing w:after="0" w:line="560" w:lineRule="exact"/>
        <w:ind w:firstLine="640" w:firstLineChars="200"/>
        <w:jc w:val="both"/>
        <w:rPr>
          <w:rFonts w:hint="eastAsia" w:ascii="仿宋_GB2312" w:hAnsi="仿宋" w:eastAsia="仿宋_GB2312"/>
          <w:color w:val="auto"/>
          <w:kern w:val="2"/>
          <w:sz w:val="32"/>
          <w:szCs w:val="32"/>
          <w:lang w:val="en-US" w:eastAsia="zh-CN"/>
        </w:rPr>
      </w:pPr>
      <w:r>
        <w:rPr>
          <w:rFonts w:hint="eastAsia" w:ascii="仿宋_GB2312" w:hAnsi="仿宋" w:eastAsia="仿宋_GB2312" w:cs="Times New Roman"/>
          <w:color w:val="auto"/>
          <w:kern w:val="2"/>
          <w:sz w:val="32"/>
          <w:szCs w:val="32"/>
          <w:lang w:val="en-US" w:eastAsia="zh-CN" w:bidi="ar-SA"/>
        </w:rPr>
        <w:t>有组织污染物排放执行标准:</w:t>
      </w:r>
      <w:r>
        <w:rPr>
          <w:rFonts w:hint="eastAsia" w:ascii="仿宋_GB2312" w:hAnsi="仿宋" w:eastAsia="仿宋_GB2312"/>
          <w:color w:val="auto"/>
          <w:kern w:val="2"/>
          <w:sz w:val="32"/>
          <w:szCs w:val="32"/>
          <w:lang w:eastAsia="zh-CN"/>
        </w:rPr>
        <w:t>恶臭气体排放污染物臭气浓度、氨气、硫化氢执行《恶臭污染物排放标准》（</w:t>
      </w:r>
      <w:r>
        <w:rPr>
          <w:rFonts w:hint="eastAsia" w:ascii="仿宋_GB2312" w:hAnsi="仿宋" w:eastAsia="仿宋_GB2312"/>
          <w:color w:val="auto"/>
          <w:kern w:val="2"/>
          <w:sz w:val="32"/>
          <w:szCs w:val="32"/>
          <w:lang w:val="en-US" w:eastAsia="zh-CN"/>
        </w:rPr>
        <w:t>GB14554-93</w:t>
      </w:r>
      <w:r>
        <w:rPr>
          <w:rFonts w:hint="eastAsia" w:ascii="仿宋_GB2312" w:hAnsi="仿宋" w:eastAsia="仿宋_GB2312"/>
          <w:color w:val="auto"/>
          <w:kern w:val="2"/>
          <w:sz w:val="32"/>
          <w:szCs w:val="32"/>
          <w:lang w:eastAsia="zh-CN"/>
        </w:rPr>
        <w:t>）表</w:t>
      </w:r>
      <w:r>
        <w:rPr>
          <w:rFonts w:hint="eastAsia" w:ascii="仿宋_GB2312" w:hAnsi="仿宋" w:eastAsia="仿宋_GB2312"/>
          <w:color w:val="auto"/>
          <w:kern w:val="2"/>
          <w:sz w:val="32"/>
          <w:szCs w:val="32"/>
          <w:lang w:val="en-US" w:eastAsia="zh-CN"/>
        </w:rPr>
        <w:t>2限值标准。</w:t>
      </w:r>
    </w:p>
    <w:p>
      <w:pPr>
        <w:widowControl w:val="0"/>
        <w:numPr>
          <w:ilvl w:val="0"/>
          <w:numId w:val="0"/>
        </w:numPr>
        <w:spacing w:after="0" w:line="560" w:lineRule="exact"/>
        <w:ind w:firstLine="640" w:firstLineChars="200"/>
        <w:jc w:val="both"/>
        <w:rPr>
          <w:rFonts w:hint="eastAsia" w:ascii="仿宋_GB2312" w:hAnsi="仿宋" w:eastAsia="仿宋_GB2312"/>
          <w:color w:val="auto"/>
          <w:kern w:val="2"/>
          <w:sz w:val="32"/>
          <w:szCs w:val="32"/>
        </w:rPr>
      </w:pPr>
      <w:r>
        <w:rPr>
          <w:rFonts w:hint="eastAsia" w:ascii="仿宋_GB2312" w:hAnsi="仿宋" w:eastAsia="仿宋_GB2312" w:cs="Times New Roman"/>
          <w:color w:val="auto"/>
          <w:kern w:val="2"/>
          <w:sz w:val="32"/>
          <w:szCs w:val="32"/>
          <w:lang w:val="en-US" w:eastAsia="zh-CN" w:bidi="ar-SA"/>
        </w:rPr>
        <w:t>无组织污染物排放执行标准：</w:t>
      </w:r>
      <w:r>
        <w:rPr>
          <w:rFonts w:hint="eastAsia" w:ascii="仿宋_GB2312" w:hAnsi="仿宋" w:eastAsia="仿宋_GB2312"/>
          <w:color w:val="auto"/>
          <w:kern w:val="2"/>
          <w:sz w:val="32"/>
          <w:szCs w:val="32"/>
          <w:lang w:eastAsia="zh-CN"/>
        </w:rPr>
        <w:t>无组织排放污染物氨、硫化氢、臭气浓度、甲烷执行《城镇污水处理厂污染物排放标准》（</w:t>
      </w:r>
      <w:r>
        <w:rPr>
          <w:rFonts w:hint="eastAsia" w:ascii="仿宋_GB2312" w:hAnsi="仿宋" w:eastAsia="仿宋_GB2312"/>
          <w:color w:val="auto"/>
          <w:kern w:val="2"/>
          <w:sz w:val="32"/>
          <w:szCs w:val="32"/>
          <w:lang w:val="en-US" w:eastAsia="zh-CN"/>
        </w:rPr>
        <w:t>GB18918-2002</w:t>
      </w:r>
      <w:r>
        <w:rPr>
          <w:rFonts w:hint="eastAsia" w:ascii="仿宋_GB2312" w:hAnsi="仿宋" w:eastAsia="仿宋_GB2312"/>
          <w:color w:val="auto"/>
          <w:kern w:val="2"/>
          <w:sz w:val="32"/>
          <w:szCs w:val="32"/>
          <w:lang w:eastAsia="zh-CN"/>
        </w:rPr>
        <w:t>）表</w:t>
      </w:r>
      <w:r>
        <w:rPr>
          <w:rFonts w:hint="eastAsia" w:ascii="仿宋_GB2312" w:hAnsi="仿宋" w:eastAsia="仿宋_GB2312"/>
          <w:color w:val="auto"/>
          <w:kern w:val="2"/>
          <w:sz w:val="32"/>
          <w:szCs w:val="32"/>
          <w:lang w:val="en-US" w:eastAsia="zh-CN"/>
        </w:rPr>
        <w:t>6二级限值标准及修改单要求。</w:t>
      </w:r>
    </w:p>
    <w:p>
      <w:pPr>
        <w:widowControl w:val="0"/>
        <w:spacing w:after="0" w:line="560" w:lineRule="exact"/>
        <w:ind w:firstLine="640" w:firstLineChars="200"/>
        <w:jc w:val="both"/>
        <w:rPr>
          <w:rFonts w:hint="eastAsia" w:ascii="仿宋_GB2312" w:hAnsi="仿宋" w:eastAsia="仿宋_GB2312"/>
          <w:color w:val="FF0000"/>
          <w:kern w:val="2"/>
          <w:sz w:val="32"/>
          <w:szCs w:val="32"/>
        </w:rPr>
      </w:pPr>
      <w:r>
        <w:rPr>
          <w:rFonts w:hint="eastAsia" w:ascii="仿宋_GB2312" w:hAnsi="仿宋" w:eastAsia="仿宋_GB2312"/>
          <w:color w:val="auto"/>
          <w:kern w:val="2"/>
          <w:sz w:val="32"/>
          <w:szCs w:val="32"/>
        </w:rPr>
        <w:t>（</w:t>
      </w:r>
      <w:r>
        <w:rPr>
          <w:rFonts w:hint="eastAsia" w:ascii="仿宋_GB2312" w:hAnsi="仿宋" w:eastAsia="仿宋_GB2312"/>
          <w:color w:val="auto"/>
          <w:kern w:val="2"/>
          <w:sz w:val="32"/>
          <w:szCs w:val="32"/>
          <w:lang w:eastAsia="zh-CN"/>
        </w:rPr>
        <w:t>五</w:t>
      </w:r>
      <w:r>
        <w:rPr>
          <w:rFonts w:hint="eastAsia" w:ascii="仿宋_GB2312" w:hAnsi="仿宋" w:eastAsia="仿宋_GB2312"/>
          <w:color w:val="auto"/>
          <w:kern w:val="2"/>
          <w:sz w:val="32"/>
          <w:szCs w:val="32"/>
        </w:rPr>
        <w:t>）严格落实固体废物收集和处置措施。</w:t>
      </w:r>
      <w:r>
        <w:rPr>
          <w:rFonts w:hint="eastAsia" w:ascii="仿宋_GB2312" w:hAnsi="仿宋" w:eastAsia="仿宋_GB2312"/>
          <w:color w:val="auto"/>
          <w:kern w:val="2"/>
          <w:sz w:val="32"/>
          <w:szCs w:val="32"/>
          <w:lang w:val="en-US" w:eastAsia="zh-CN"/>
        </w:rPr>
        <w:t>固体废物的处置遵循“减量化、资源化、无害化”原则，一般</w:t>
      </w:r>
      <w:r>
        <w:rPr>
          <w:rFonts w:hint="eastAsia" w:ascii="仿宋_GB2312" w:hAnsi="仿宋" w:eastAsia="仿宋_GB2312"/>
          <w:color w:val="auto"/>
          <w:kern w:val="2"/>
          <w:sz w:val="32"/>
          <w:szCs w:val="32"/>
        </w:rPr>
        <w:t>固体废物的收集、暂存及转移符合《一般工业固体废物贮存和填埋污染控制标准》（GB18599-2020）要求</w:t>
      </w:r>
      <w:r>
        <w:rPr>
          <w:rFonts w:hint="eastAsia" w:ascii="仿宋_GB2312" w:hAnsi="仿宋" w:eastAsia="仿宋_GB2312"/>
          <w:color w:val="auto"/>
          <w:kern w:val="2"/>
          <w:sz w:val="32"/>
          <w:szCs w:val="32"/>
          <w:lang w:eastAsia="zh-CN"/>
        </w:rPr>
        <w:t>，</w:t>
      </w:r>
      <w:r>
        <w:rPr>
          <w:rFonts w:hint="eastAsia" w:ascii="仿宋_GB2312" w:hAnsi="仿宋" w:eastAsia="仿宋_GB2312"/>
          <w:color w:val="auto"/>
          <w:kern w:val="2"/>
          <w:sz w:val="32"/>
          <w:szCs w:val="32"/>
          <w:lang w:val="en-US" w:eastAsia="zh-CN"/>
        </w:rPr>
        <w:t>危险废物的收集、暂存及转移符合《危险废物贮存污染物控制标准》（GB18597-2023）要求，防止二次污染。固体废物委托他人运输、利用、处置的，应当对受委托方的主体资格和技术能力进行核实，依法签订书面合同，在合同中约定污染防治要求。</w:t>
      </w:r>
    </w:p>
    <w:p>
      <w:pPr>
        <w:widowControl w:val="0"/>
        <w:spacing w:after="0" w:line="560" w:lineRule="exact"/>
        <w:ind w:firstLine="640" w:firstLineChars="200"/>
        <w:jc w:val="both"/>
        <w:rPr>
          <w:rFonts w:hint="eastAsia" w:ascii="仿宋_GB2312" w:hAnsi="仿宋" w:eastAsia="仿宋_GB2312"/>
          <w:color w:val="auto"/>
          <w:kern w:val="2"/>
          <w:sz w:val="32"/>
          <w:szCs w:val="32"/>
        </w:rPr>
      </w:pPr>
      <w:r>
        <w:rPr>
          <w:rFonts w:hint="eastAsia" w:ascii="仿宋_GB2312" w:hAnsi="仿宋" w:eastAsia="仿宋_GB2312"/>
          <w:color w:val="auto"/>
          <w:kern w:val="2"/>
          <w:sz w:val="32"/>
          <w:szCs w:val="32"/>
        </w:rPr>
        <w:t>（</w:t>
      </w:r>
      <w:r>
        <w:rPr>
          <w:rFonts w:hint="eastAsia" w:ascii="仿宋_GB2312" w:hAnsi="仿宋" w:eastAsia="仿宋_GB2312"/>
          <w:color w:val="auto"/>
          <w:kern w:val="2"/>
          <w:sz w:val="32"/>
          <w:szCs w:val="32"/>
          <w:lang w:eastAsia="zh-CN"/>
        </w:rPr>
        <w:t>六</w:t>
      </w:r>
      <w:r>
        <w:rPr>
          <w:rFonts w:hint="eastAsia" w:ascii="仿宋_GB2312" w:hAnsi="仿宋" w:eastAsia="仿宋_GB2312"/>
          <w:color w:val="auto"/>
          <w:kern w:val="2"/>
          <w:sz w:val="32"/>
          <w:szCs w:val="32"/>
        </w:rPr>
        <w:t>）严格落实噪声污染防治措施。优化总平面布局，选用低噪声设备，对高噪声设备采取</w:t>
      </w:r>
      <w:r>
        <w:rPr>
          <w:rFonts w:hint="eastAsia" w:ascii="仿宋_GB2312" w:hAnsi="仿宋" w:eastAsia="仿宋_GB2312"/>
          <w:color w:val="auto"/>
          <w:kern w:val="2"/>
          <w:sz w:val="32"/>
          <w:szCs w:val="32"/>
          <w:lang w:val="en-US" w:eastAsia="zh-CN"/>
        </w:rPr>
        <w:t>密闭、隔声、消声和</w:t>
      </w:r>
      <w:r>
        <w:rPr>
          <w:rFonts w:hint="eastAsia" w:ascii="仿宋_GB2312" w:hAnsi="仿宋" w:eastAsia="仿宋_GB2312"/>
          <w:color w:val="auto"/>
          <w:kern w:val="2"/>
          <w:sz w:val="32"/>
          <w:szCs w:val="32"/>
        </w:rPr>
        <w:t>基础减振等降噪措施，确保厂界噪声达到《工业企业厂界环境噪声排放标准》（GB12348-2008）</w:t>
      </w:r>
      <w:r>
        <w:rPr>
          <w:rFonts w:hint="eastAsia" w:ascii="仿宋_GB2312" w:hAnsi="仿宋" w:eastAsia="仿宋_GB2312"/>
          <w:color w:val="auto"/>
          <w:kern w:val="2"/>
          <w:sz w:val="32"/>
          <w:szCs w:val="32"/>
          <w:lang w:val="en-US" w:eastAsia="zh-CN"/>
        </w:rPr>
        <w:t>3</w:t>
      </w:r>
      <w:r>
        <w:rPr>
          <w:rFonts w:hint="eastAsia" w:ascii="仿宋_GB2312" w:hAnsi="仿宋" w:eastAsia="仿宋_GB2312"/>
          <w:color w:val="auto"/>
          <w:kern w:val="2"/>
          <w:sz w:val="32"/>
          <w:szCs w:val="32"/>
        </w:rPr>
        <w:t>类标准。</w:t>
      </w:r>
    </w:p>
    <w:p>
      <w:pPr>
        <w:widowControl w:val="0"/>
        <w:spacing w:after="0" w:line="560" w:lineRule="exact"/>
        <w:ind w:firstLine="640" w:firstLineChars="200"/>
        <w:jc w:val="both"/>
        <w:rPr>
          <w:rFonts w:hint="eastAsia" w:ascii="仿宋_GB2312" w:hAnsi="仿宋" w:eastAsia="仿宋_GB2312"/>
          <w:color w:val="auto"/>
          <w:kern w:val="2"/>
          <w:sz w:val="32"/>
          <w:szCs w:val="32"/>
          <w:lang w:val="en-US" w:eastAsia="zh-CN"/>
        </w:rPr>
      </w:pPr>
      <w:r>
        <w:rPr>
          <w:rFonts w:hint="eastAsia" w:ascii="仿宋_GB2312" w:hAnsi="仿宋" w:eastAsia="仿宋_GB2312"/>
          <w:color w:val="auto"/>
          <w:kern w:val="2"/>
          <w:sz w:val="32"/>
          <w:szCs w:val="32"/>
          <w:lang w:val="en-US" w:eastAsia="zh-CN"/>
        </w:rPr>
        <w:t>（七）严格落实土壤和地下水污染防治措施。严格按照“源头控制、分区防治、污染监控、应急响应”相结合的原则，从污染物的产生、运移、扩散、应急响应全阶段进行控制。结合各生产功能单元可能产生污染的区域，严格按照《环境影响评价技术导则—地下水环境》（HJ610-2016）做好分区防渗。</w:t>
      </w:r>
    </w:p>
    <w:p>
      <w:pPr>
        <w:widowControl w:val="0"/>
        <w:spacing w:after="0" w:line="560" w:lineRule="exact"/>
        <w:ind w:firstLine="640" w:firstLineChars="200"/>
        <w:jc w:val="both"/>
        <w:rPr>
          <w:rFonts w:hint="eastAsia"/>
        </w:rPr>
      </w:pPr>
      <w:r>
        <w:rPr>
          <w:rFonts w:hint="eastAsia" w:ascii="仿宋_GB2312" w:hAnsi="仿宋" w:eastAsia="仿宋_GB2312"/>
          <w:color w:val="auto"/>
          <w:kern w:val="2"/>
          <w:sz w:val="32"/>
          <w:szCs w:val="32"/>
          <w:lang w:val="en-US" w:eastAsia="zh-CN"/>
        </w:rPr>
        <w:t>（八）加强监测和信息公开。设置污水处理厂进出水在线监测设施并与生态环境主管部门联网，并保证监测设备正常运行。加强对涉新污染的跟踪监测。项目营运期间按要求严格落实各项监测计划，建立污染源监测台账，主动公开相关环境信息，自觉接受社会公众监督。</w:t>
      </w:r>
    </w:p>
    <w:p>
      <w:pPr>
        <w:widowControl w:val="0"/>
        <w:spacing w:after="0" w:line="560" w:lineRule="exact"/>
        <w:ind w:firstLine="640" w:firstLineChars="200"/>
        <w:jc w:val="both"/>
        <w:rPr>
          <w:rFonts w:hint="eastAsia" w:ascii="仿宋_GB2312" w:hAnsi="仿宋" w:eastAsia="仿宋_GB2312"/>
          <w:color w:val="auto"/>
          <w:kern w:val="2"/>
          <w:sz w:val="32"/>
          <w:szCs w:val="32"/>
          <w:lang w:val="en-US" w:eastAsia="zh-CN"/>
        </w:rPr>
      </w:pPr>
      <w:r>
        <w:rPr>
          <w:rFonts w:hint="eastAsia" w:ascii="仿宋_GB2312" w:hAnsi="仿宋" w:eastAsia="仿宋_GB2312"/>
          <w:color w:val="auto"/>
          <w:kern w:val="2"/>
          <w:sz w:val="32"/>
          <w:szCs w:val="32"/>
          <w:lang w:val="en-US" w:eastAsia="zh-CN"/>
        </w:rPr>
        <w:t>三、严格落实环境风险防范措施。严格落实《报告书》提出的各项环境事故风险防范措施，严防环境风险事故发生。按照《湖南省突发环境事故应急预案管理办法（修订版）》落实应急预案管理要求。</w:t>
      </w:r>
    </w:p>
    <w:p>
      <w:pPr>
        <w:widowControl w:val="0"/>
        <w:spacing w:after="0" w:line="560" w:lineRule="exact"/>
        <w:ind w:firstLine="640" w:firstLineChars="200"/>
        <w:jc w:val="both"/>
        <w:rPr>
          <w:rFonts w:hint="eastAsia"/>
          <w:lang w:val="en-US" w:eastAsia="zh-CN"/>
        </w:rPr>
      </w:pPr>
      <w:r>
        <w:rPr>
          <w:rFonts w:hint="eastAsia" w:ascii="仿宋_GB2312" w:hAnsi="仿宋" w:eastAsia="仿宋_GB2312"/>
          <w:color w:val="auto"/>
          <w:kern w:val="2"/>
          <w:sz w:val="32"/>
          <w:szCs w:val="32"/>
          <w:lang w:val="en-US" w:eastAsia="zh-CN"/>
        </w:rPr>
        <w:t>四</w:t>
      </w:r>
      <w:r>
        <w:rPr>
          <w:rFonts w:hint="default" w:ascii="仿宋_GB2312" w:hAnsi="仿宋" w:eastAsia="仿宋_GB2312"/>
          <w:color w:val="auto"/>
          <w:kern w:val="2"/>
          <w:sz w:val="32"/>
          <w:szCs w:val="32"/>
          <w:lang w:val="en-US" w:eastAsia="zh-CN"/>
        </w:rPr>
        <w:t>、</w:t>
      </w:r>
      <w:r>
        <w:rPr>
          <w:rFonts w:hint="eastAsia" w:ascii="仿宋_GB2312" w:hAnsi="仿宋" w:eastAsia="仿宋_GB2312"/>
          <w:color w:val="auto"/>
          <w:kern w:val="2"/>
          <w:sz w:val="32"/>
          <w:szCs w:val="32"/>
          <w:lang w:val="en-US" w:eastAsia="zh-CN"/>
        </w:rPr>
        <w:t>根据《报告书》预测及分析结论：本项目设置50米的环境防护距离，在环境防护距离范围内不得再新建居民区、医院、学校和养老院等环境敏感目标。环境防护距离范围内有8户居民，建设单位务必严格按照承诺的拆迁计划实施到位后，项目方可投产运行。</w:t>
      </w:r>
    </w:p>
    <w:p>
      <w:pPr>
        <w:widowControl w:val="0"/>
        <w:spacing w:after="0" w:line="560" w:lineRule="exact"/>
        <w:ind w:firstLine="640" w:firstLineChars="200"/>
        <w:jc w:val="both"/>
        <w:rPr>
          <w:rFonts w:hint="default" w:ascii="仿宋_GB2312" w:hAnsi="仿宋" w:eastAsia="仿宋_GB2312"/>
          <w:color w:val="auto"/>
          <w:kern w:val="2"/>
          <w:sz w:val="32"/>
          <w:szCs w:val="32"/>
          <w:lang w:val="en-US" w:eastAsia="zh-CN"/>
        </w:rPr>
      </w:pPr>
      <w:r>
        <w:rPr>
          <w:rFonts w:hint="eastAsia" w:ascii="仿宋_GB2312" w:hAnsi="仿宋" w:eastAsia="仿宋_GB2312"/>
          <w:color w:val="auto"/>
          <w:kern w:val="2"/>
          <w:sz w:val="32"/>
          <w:szCs w:val="32"/>
          <w:lang w:val="en-US" w:eastAsia="zh-CN"/>
        </w:rPr>
        <w:t>五</w:t>
      </w:r>
      <w:r>
        <w:rPr>
          <w:rFonts w:hint="default" w:ascii="仿宋_GB2312" w:hAnsi="仿宋" w:eastAsia="仿宋_GB2312"/>
          <w:color w:val="auto"/>
          <w:kern w:val="2"/>
          <w:sz w:val="32"/>
          <w:szCs w:val="32"/>
          <w:lang w:val="en-US" w:eastAsia="zh-CN"/>
        </w:rPr>
        <w:t>、严格落实总量控制要求。根据《报告</w:t>
      </w:r>
      <w:r>
        <w:rPr>
          <w:rFonts w:hint="eastAsia" w:ascii="仿宋_GB2312" w:hAnsi="仿宋" w:eastAsia="仿宋_GB2312"/>
          <w:color w:val="auto"/>
          <w:kern w:val="2"/>
          <w:sz w:val="32"/>
          <w:szCs w:val="32"/>
          <w:lang w:val="en-US" w:eastAsia="zh-CN"/>
        </w:rPr>
        <w:t>书</w:t>
      </w:r>
      <w:r>
        <w:rPr>
          <w:rFonts w:hint="default" w:ascii="仿宋_GB2312" w:hAnsi="仿宋" w:eastAsia="仿宋_GB2312"/>
          <w:color w:val="auto"/>
          <w:kern w:val="2"/>
          <w:sz w:val="32"/>
          <w:szCs w:val="32"/>
          <w:lang w:val="en-US" w:eastAsia="zh-CN"/>
        </w:rPr>
        <w:t>》核定项目总量控制指标：化学需氧量</w:t>
      </w:r>
      <w:r>
        <w:rPr>
          <w:rFonts w:hint="eastAsia" w:ascii="仿宋_GB2312" w:hAnsi="仿宋" w:eastAsia="仿宋_GB2312"/>
          <w:color w:val="auto"/>
          <w:kern w:val="2"/>
          <w:sz w:val="32"/>
          <w:szCs w:val="32"/>
          <w:lang w:val="en-US" w:eastAsia="zh-CN"/>
        </w:rPr>
        <w:t>182.5</w:t>
      </w:r>
      <w:r>
        <w:rPr>
          <w:rFonts w:hint="default" w:ascii="仿宋_GB2312" w:hAnsi="仿宋" w:eastAsia="仿宋_GB2312"/>
          <w:color w:val="auto"/>
          <w:kern w:val="2"/>
          <w:sz w:val="32"/>
          <w:szCs w:val="32"/>
          <w:lang w:val="en-US" w:eastAsia="zh-CN"/>
        </w:rPr>
        <w:t>吨/年，氨氮</w:t>
      </w:r>
      <w:r>
        <w:rPr>
          <w:rFonts w:hint="eastAsia" w:ascii="仿宋_GB2312" w:hAnsi="仿宋" w:eastAsia="仿宋_GB2312"/>
          <w:color w:val="auto"/>
          <w:kern w:val="2"/>
          <w:sz w:val="32"/>
          <w:szCs w:val="32"/>
          <w:lang w:val="en-US" w:eastAsia="zh-CN"/>
        </w:rPr>
        <w:t>18.25</w:t>
      </w:r>
      <w:r>
        <w:rPr>
          <w:rFonts w:hint="default" w:ascii="仿宋_GB2312" w:hAnsi="仿宋" w:eastAsia="仿宋_GB2312"/>
          <w:color w:val="auto"/>
          <w:kern w:val="2"/>
          <w:sz w:val="32"/>
          <w:szCs w:val="32"/>
          <w:lang w:val="en-US" w:eastAsia="zh-CN"/>
        </w:rPr>
        <w:t>吨/年，</w:t>
      </w:r>
      <w:r>
        <w:rPr>
          <w:rFonts w:hint="eastAsia" w:ascii="仿宋_GB2312" w:hAnsi="仿宋" w:eastAsia="仿宋_GB2312"/>
          <w:color w:val="auto"/>
          <w:kern w:val="2"/>
          <w:sz w:val="32"/>
          <w:szCs w:val="32"/>
          <w:lang w:val="en-US" w:eastAsia="zh-CN"/>
        </w:rPr>
        <w:t>总磷1.825</w:t>
      </w:r>
      <w:r>
        <w:rPr>
          <w:rFonts w:hint="default" w:ascii="仿宋_GB2312" w:hAnsi="仿宋" w:eastAsia="仿宋_GB2312"/>
          <w:color w:val="auto"/>
          <w:kern w:val="2"/>
          <w:sz w:val="32"/>
          <w:szCs w:val="32"/>
          <w:lang w:val="en-US" w:eastAsia="zh-CN"/>
        </w:rPr>
        <w:t>吨/年</w:t>
      </w:r>
      <w:r>
        <w:rPr>
          <w:rFonts w:hint="eastAsia" w:ascii="仿宋_GB2312" w:hAnsi="仿宋" w:eastAsia="仿宋_GB2312"/>
          <w:color w:val="auto"/>
          <w:kern w:val="2"/>
          <w:sz w:val="32"/>
          <w:szCs w:val="32"/>
          <w:lang w:val="en-US" w:eastAsia="zh-CN"/>
        </w:rPr>
        <w:t>。</w:t>
      </w:r>
    </w:p>
    <w:p>
      <w:pPr>
        <w:widowControl w:val="0"/>
        <w:spacing w:after="0" w:line="560" w:lineRule="exact"/>
        <w:ind w:firstLine="640" w:firstLineChars="200"/>
        <w:jc w:val="both"/>
        <w:rPr>
          <w:rFonts w:hint="eastAsia" w:ascii="仿宋_GB2312" w:hAnsi="仿宋" w:eastAsia="仿宋_GB2312"/>
          <w:color w:val="FF0000"/>
          <w:kern w:val="2"/>
          <w:sz w:val="32"/>
          <w:szCs w:val="32"/>
        </w:rPr>
      </w:pPr>
      <w:r>
        <w:rPr>
          <w:rFonts w:hint="eastAsia" w:ascii="仿宋_GB2312" w:hAnsi="仿宋" w:eastAsia="仿宋_GB2312"/>
          <w:color w:val="auto"/>
          <w:kern w:val="2"/>
          <w:sz w:val="32"/>
          <w:szCs w:val="32"/>
          <w:lang w:eastAsia="zh-CN"/>
        </w:rPr>
        <w:t>六</w:t>
      </w:r>
      <w:r>
        <w:rPr>
          <w:rFonts w:hint="eastAsia" w:ascii="仿宋_GB2312" w:hAnsi="仿宋" w:eastAsia="仿宋_GB2312"/>
          <w:color w:val="auto"/>
          <w:kern w:val="2"/>
          <w:sz w:val="32"/>
          <w:szCs w:val="32"/>
        </w:rPr>
        <w:t>、《报告</w:t>
      </w:r>
      <w:r>
        <w:rPr>
          <w:rFonts w:hint="eastAsia" w:ascii="仿宋_GB2312" w:hAnsi="仿宋" w:eastAsia="仿宋_GB2312"/>
          <w:color w:val="auto"/>
          <w:kern w:val="2"/>
          <w:sz w:val="32"/>
          <w:szCs w:val="32"/>
          <w:lang w:eastAsia="zh-CN"/>
        </w:rPr>
        <w:t>书</w:t>
      </w:r>
      <w:r>
        <w:rPr>
          <w:rFonts w:hint="eastAsia" w:ascii="仿宋_GB2312" w:hAnsi="仿宋" w:eastAsia="仿宋_GB2312"/>
          <w:color w:val="auto"/>
          <w:kern w:val="2"/>
          <w:sz w:val="32"/>
          <w:szCs w:val="32"/>
        </w:rPr>
        <w:t>》经批复后，项目的性质、规模、地点、采用的生产工艺或者防治污染、防止生态破坏的措施发生重大变动的，应当重新报批项目环境影响评价文件。</w:t>
      </w:r>
      <w:r>
        <w:rPr>
          <w:rFonts w:hint="eastAsia" w:ascii="仿宋_GB2312" w:hAnsi="仿宋" w:eastAsia="仿宋_GB2312"/>
          <w:color w:val="auto"/>
          <w:kern w:val="2"/>
          <w:sz w:val="32"/>
          <w:szCs w:val="32"/>
          <w:lang w:val="en-US" w:eastAsia="zh-CN"/>
        </w:rPr>
        <w:t>本项目建设、运行依法需要其他行政许可的，你单位应按规定及时办理并取得其他行政许可。项目</w:t>
      </w:r>
      <w:r>
        <w:rPr>
          <w:rFonts w:hint="eastAsia" w:ascii="仿宋_GB2312" w:hAnsi="仿宋" w:eastAsia="仿宋_GB2312"/>
          <w:color w:val="auto"/>
          <w:kern w:val="2"/>
          <w:sz w:val="32"/>
          <w:szCs w:val="32"/>
        </w:rPr>
        <w:t>在实际排污之前须完善排污许可相关手续，并严格按规定程序实施竣工环境保护验收。</w:t>
      </w:r>
    </w:p>
    <w:p>
      <w:pPr>
        <w:widowControl w:val="0"/>
        <w:spacing w:after="0" w:line="560" w:lineRule="exact"/>
        <w:ind w:firstLine="640" w:firstLineChars="200"/>
        <w:jc w:val="both"/>
        <w:rPr>
          <w:rFonts w:hint="eastAsia" w:ascii="仿宋_GB2312" w:hAnsi="仿宋" w:eastAsia="仿宋_GB2312"/>
          <w:color w:val="auto"/>
          <w:kern w:val="2"/>
          <w:sz w:val="32"/>
          <w:szCs w:val="32"/>
          <w:lang w:val="en-US" w:eastAsia="zh-CN"/>
        </w:rPr>
      </w:pPr>
      <w:r>
        <w:rPr>
          <w:rFonts w:hint="eastAsia" w:ascii="仿宋_GB2312" w:hAnsi="仿宋" w:eastAsia="仿宋_GB2312"/>
          <w:color w:val="auto"/>
          <w:kern w:val="2"/>
          <w:sz w:val="32"/>
          <w:szCs w:val="32"/>
          <w:lang w:eastAsia="zh-CN"/>
        </w:rPr>
        <w:t>七</w:t>
      </w:r>
      <w:r>
        <w:rPr>
          <w:rFonts w:hint="eastAsia" w:ascii="仿宋_GB2312" w:hAnsi="仿宋" w:eastAsia="仿宋_GB2312"/>
          <w:color w:val="auto"/>
          <w:kern w:val="2"/>
          <w:sz w:val="32"/>
          <w:szCs w:val="32"/>
        </w:rPr>
        <w:t>、项目的环保“三同时”执行情况的监督检查和日常环境管理工作按属地管理原则由常德市生态环境局</w:t>
      </w:r>
      <w:r>
        <w:rPr>
          <w:rFonts w:hint="eastAsia" w:ascii="仿宋_GB2312" w:hAnsi="仿宋" w:eastAsia="仿宋_GB2312"/>
          <w:color w:val="auto"/>
          <w:kern w:val="2"/>
          <w:sz w:val="32"/>
          <w:szCs w:val="32"/>
          <w:lang w:eastAsia="zh-CN"/>
        </w:rPr>
        <w:t>汉寿</w:t>
      </w:r>
      <w:r>
        <w:rPr>
          <w:rFonts w:hint="eastAsia" w:ascii="仿宋_GB2312" w:hAnsi="仿宋" w:eastAsia="仿宋_GB2312"/>
          <w:color w:val="auto"/>
          <w:kern w:val="2"/>
          <w:sz w:val="32"/>
          <w:szCs w:val="32"/>
        </w:rPr>
        <w:t>分局具体负责。</w:t>
      </w:r>
      <w:r>
        <w:rPr>
          <w:rFonts w:hint="eastAsia" w:ascii="仿宋_GB2312" w:hAnsi="仿宋" w:eastAsia="仿宋_GB2312"/>
          <w:color w:val="auto"/>
          <w:kern w:val="2"/>
          <w:sz w:val="32"/>
          <w:szCs w:val="32"/>
          <w:lang w:eastAsia="zh-CN"/>
        </w:rPr>
        <w:t>建设单位应在收到本批复后的</w:t>
      </w:r>
      <w:r>
        <w:rPr>
          <w:rFonts w:hint="eastAsia" w:ascii="仿宋_GB2312" w:hAnsi="仿宋" w:eastAsia="仿宋_GB2312"/>
          <w:color w:val="auto"/>
          <w:kern w:val="2"/>
          <w:sz w:val="32"/>
          <w:szCs w:val="32"/>
          <w:lang w:val="en-US" w:eastAsia="zh-CN"/>
        </w:rPr>
        <w:t>15个工作日内，将批准后的《报告书》及本批复送至常德市生态环境局汉寿分局。</w:t>
      </w:r>
    </w:p>
    <w:p>
      <w:pPr>
        <w:pStyle w:val="2"/>
        <w:rPr>
          <w:rFonts w:hint="eastAsia"/>
          <w:lang w:val="en-US" w:eastAsia="zh-CN"/>
        </w:rPr>
      </w:pPr>
    </w:p>
    <w:p>
      <w:pPr>
        <w:pStyle w:val="2"/>
        <w:rPr>
          <w:rFonts w:hint="eastAsia"/>
          <w:lang w:val="en-US" w:eastAsia="zh-CN"/>
        </w:rPr>
      </w:pPr>
    </w:p>
    <w:p>
      <w:pPr>
        <w:pStyle w:val="2"/>
        <w:rPr>
          <w:rFonts w:hint="eastAsia"/>
          <w:lang w:val="en-US" w:eastAsia="zh-CN"/>
        </w:rPr>
      </w:pPr>
    </w:p>
    <w:p>
      <w:pPr>
        <w:pStyle w:val="2"/>
        <w:rPr>
          <w:rFonts w:hint="eastAsia"/>
          <w:lang w:val="en-US" w:eastAsia="zh-CN"/>
        </w:rPr>
      </w:pPr>
    </w:p>
    <w:p>
      <w:pPr>
        <w:pStyle w:val="2"/>
      </w:pPr>
    </w:p>
    <w:p>
      <w:pPr>
        <w:spacing w:after="0" w:line="560" w:lineRule="exact"/>
        <w:ind w:firstLine="5385" w:firstLineChars="1683"/>
        <w:rPr>
          <w:rFonts w:ascii="仿宋_GB2312" w:eastAsia="仿宋_GB2312"/>
          <w:color w:val="auto"/>
          <w:sz w:val="32"/>
          <w:szCs w:val="32"/>
        </w:rPr>
      </w:pPr>
      <w:r>
        <w:rPr>
          <w:rFonts w:hint="eastAsia" w:ascii="仿宋_GB2312" w:eastAsia="仿宋_GB2312"/>
          <w:color w:val="auto"/>
          <w:sz w:val="32"/>
          <w:szCs w:val="32"/>
        </w:rPr>
        <w:t>常德市生态环境局</w:t>
      </w:r>
    </w:p>
    <w:p>
      <w:pPr>
        <w:widowControl w:val="0"/>
        <w:spacing w:after="0" w:line="560" w:lineRule="exact"/>
        <w:ind w:firstLine="5440" w:firstLineChars="1700"/>
        <w:rPr>
          <w:rFonts w:hint="eastAsia" w:ascii="仿宋_GB2312" w:eastAsia="仿宋_GB2312"/>
          <w:color w:val="auto"/>
          <w:sz w:val="32"/>
          <w:szCs w:val="32"/>
        </w:rPr>
      </w:pPr>
      <w:r>
        <w:rPr>
          <w:rFonts w:hint="eastAsia" w:ascii="仿宋_GB2312" w:eastAsia="仿宋_GB2312"/>
          <w:color w:val="auto"/>
          <w:sz w:val="32"/>
          <w:szCs w:val="32"/>
        </w:rPr>
        <w:t>202</w:t>
      </w:r>
      <w:r>
        <w:rPr>
          <w:rFonts w:hint="eastAsia" w:ascii="仿宋_GB2312" w:eastAsia="仿宋_GB2312"/>
          <w:color w:val="auto"/>
          <w:sz w:val="32"/>
          <w:szCs w:val="32"/>
          <w:lang w:val="en-US" w:eastAsia="zh-CN"/>
        </w:rPr>
        <w:t>6</w:t>
      </w:r>
      <w:r>
        <w:rPr>
          <w:rFonts w:hint="eastAsia" w:ascii="仿宋_GB2312" w:eastAsia="仿宋_GB2312"/>
          <w:color w:val="auto"/>
          <w:sz w:val="32"/>
          <w:szCs w:val="32"/>
        </w:rPr>
        <w:t>年</w:t>
      </w:r>
      <w:r>
        <w:rPr>
          <w:rFonts w:hint="default" w:ascii="仿宋_GB2312" w:eastAsia="仿宋_GB2312"/>
          <w:color w:val="auto"/>
          <w:sz w:val="32"/>
          <w:szCs w:val="32"/>
          <w:lang w:val="en-US"/>
        </w:rPr>
        <w:t>8</w:t>
      </w:r>
      <w:r>
        <w:rPr>
          <w:rFonts w:hint="eastAsia" w:ascii="仿宋_GB2312" w:eastAsia="仿宋_GB2312"/>
          <w:color w:val="auto"/>
          <w:sz w:val="32"/>
          <w:szCs w:val="32"/>
        </w:rPr>
        <w:t>月</w:t>
      </w:r>
      <w:r>
        <w:rPr>
          <w:rFonts w:hint="default" w:ascii="仿宋_GB2312" w:eastAsia="仿宋_GB2312"/>
          <w:color w:val="auto"/>
          <w:sz w:val="32"/>
          <w:szCs w:val="32"/>
          <w:lang w:val="en-US"/>
        </w:rPr>
        <w:t>26</w:t>
      </w:r>
      <w:r>
        <w:rPr>
          <w:rFonts w:hint="eastAsia" w:ascii="仿宋_GB2312" w:eastAsia="仿宋_GB2312"/>
          <w:color w:val="auto"/>
          <w:sz w:val="32"/>
          <w:szCs w:val="32"/>
        </w:rPr>
        <w:t>日</w:t>
      </w: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pPr>
    </w:p>
    <w:p>
      <w:pPr>
        <w:widowControl w:val="0"/>
        <w:pBdr>
          <w:top w:val="single" w:color="auto" w:sz="4" w:space="1"/>
          <w:bottom w:val="single" w:color="auto" w:sz="4" w:space="1"/>
        </w:pBdr>
        <w:autoSpaceDE w:val="0"/>
        <w:autoSpaceDN w:val="0"/>
        <w:snapToGrid/>
        <w:spacing w:after="0" w:line="520" w:lineRule="exact"/>
        <w:jc w:val="both"/>
        <w:rPr>
          <w:rFonts w:hint="eastAsia" w:ascii="仿宋_GB2312" w:hAnsi="仿宋" w:eastAsia="仿宋_GB2312"/>
          <w:color w:val="auto"/>
          <w:spacing w:val="0"/>
          <w:sz w:val="28"/>
          <w:szCs w:val="28"/>
          <w:lang w:val="en-GB"/>
        </w:rPr>
      </w:pPr>
      <w:r>
        <w:rPr>
          <w:rFonts w:hint="eastAsia" w:ascii="仿宋_GB2312" w:hAnsi="Times New Roman" w:eastAsia="仿宋_GB2312" w:cs="黑体"/>
          <w:color w:val="auto"/>
          <w:spacing w:val="0"/>
          <w:sz w:val="28"/>
          <w:szCs w:val="28"/>
        </w:rPr>
        <w:t>抄送：</w:t>
      </w:r>
      <w:r>
        <w:rPr>
          <w:rFonts w:hint="eastAsia" w:ascii="仿宋_GB2312" w:hAnsi="仿宋" w:eastAsia="仿宋_GB2312"/>
          <w:color w:val="auto"/>
          <w:spacing w:val="0"/>
          <w:sz w:val="28"/>
          <w:szCs w:val="28"/>
          <w:lang w:val="en-GB"/>
        </w:rPr>
        <w:t>常德市生态环境局</w:t>
      </w:r>
      <w:r>
        <w:rPr>
          <w:rFonts w:hint="eastAsia" w:ascii="仿宋_GB2312" w:hAnsi="仿宋" w:eastAsia="仿宋_GB2312"/>
          <w:color w:val="auto"/>
          <w:spacing w:val="0"/>
          <w:sz w:val="28"/>
          <w:szCs w:val="28"/>
          <w:lang w:val="en-GB" w:eastAsia="zh-CN"/>
        </w:rPr>
        <w:t>汉寿</w:t>
      </w:r>
      <w:r>
        <w:rPr>
          <w:rFonts w:hint="eastAsia" w:ascii="仿宋_GB2312" w:hAnsi="仿宋" w:eastAsia="仿宋_GB2312"/>
          <w:color w:val="auto"/>
          <w:spacing w:val="0"/>
          <w:sz w:val="28"/>
          <w:szCs w:val="28"/>
          <w:lang w:val="en-GB"/>
        </w:rPr>
        <w:t>分局、</w:t>
      </w:r>
      <w:r>
        <w:rPr>
          <w:rFonts w:hint="eastAsia" w:ascii="仿宋_GB2312" w:hAnsi="仿宋" w:eastAsia="仿宋_GB2312"/>
          <w:color w:val="auto"/>
          <w:spacing w:val="0"/>
          <w:sz w:val="28"/>
          <w:szCs w:val="28"/>
          <w:lang w:val="en-GB" w:eastAsia="zh-CN"/>
        </w:rPr>
        <w:t>湖南德瀚环保科技有限公司</w:t>
      </w:r>
    </w:p>
    <w:sectPr>
      <w:headerReference r:id="rId4" w:type="default"/>
      <w:footerReference r:id="rId5" w:type="default"/>
      <w:footerReference r:id="rId6" w:type="even"/>
      <w:pgSz w:w="11906" w:h="16838"/>
      <w:pgMar w:top="2098" w:right="1474" w:bottom="1701" w:left="1588" w:header="709" w:footer="709" w:gutter="0"/>
      <w:pgNumType w:fmt="numberInDash"/>
      <w:cols w:space="708" w:num="1"/>
      <w:titlePg/>
      <w:docGrid w:type="lines"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embedRegular r:id="rId1" w:fontKey="{6F2A580C-C1CF-441C-A185-DB3CD86F549C}"/>
  </w:font>
  <w:font w:name="宋体">
    <w:panose1 w:val="02010600030101010101"/>
    <w:charset w:val="50"/>
    <w:family w:val="auto"/>
    <w:pitch w:val="default"/>
    <w:sig w:usb0="00000203" w:usb1="288F0000" w:usb2="00000006" w:usb3="00000000" w:csb0="00040001" w:csb1="00000000"/>
    <w:embedRegular r:id="rId2" w:fontKey="{8CBB129A-01AC-4C53-BD80-8F1D7B019F35}"/>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3" w:fontKey="{4B8BBBB4-B1EC-4CC9-A9DE-6DDE027C1FC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Arial Unicode MS">
    <w:altName w:val="宋体"/>
    <w:panose1 w:val="020B0604020202020204"/>
    <w:charset w:val="86"/>
    <w:family w:val="roman"/>
    <w:pitch w:val="default"/>
    <w:sig w:usb0="00000000" w:usb1="00000000" w:usb2="0000003F" w:usb3="00000000" w:csb0="603F01FF" w:csb1="FFFF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embedRegular r:id="rId4" w:fontKey="{48544343-D2F8-4439-A3AA-951422A53BC4}"/>
  </w:font>
  <w:font w:name="仿宋">
    <w:panose1 w:val="02010609060101010101"/>
    <w:charset w:val="86"/>
    <w:family w:val="auto"/>
    <w:pitch w:val="default"/>
    <w:sig w:usb0="800002BF" w:usb1="38CF7CFA" w:usb2="00000016" w:usb3="00000000" w:csb0="00040001" w:csb1="00000000"/>
    <w:embedRegular r:id="rId5" w:fontKey="{08C7B45D-3E51-456F-9F49-04409F23F97C}"/>
  </w:font>
  <w:font w:name="方正小标宋简体">
    <w:altName w:val="方正舒体"/>
    <w:panose1 w:val="02000000000000000000"/>
    <w:charset w:val="86"/>
    <w:family w:val="script"/>
    <w:pitch w:val="default"/>
    <w:sig w:usb0="00000000" w:usb1="00000000" w:usb2="00000012" w:usb3="00000000" w:csb0="00040001" w:csb1="00000000"/>
    <w:embedRegular r:id="rId6" w:fontKey="{9AF01939-2919-4573-B032-820DB5B349F5}"/>
  </w:font>
  <w:font w:name="方正舒体">
    <w:panose1 w:val="02010601030101010101"/>
    <w:charset w:val="86"/>
    <w:family w:val="auto"/>
    <w:pitch w:val="default"/>
    <w:sig w:usb0="00000003"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EndPr>
      <w:rPr>
        <w:rFonts w:ascii="宋体" w:hAnsi="宋体" w:eastAsia="宋体"/>
        <w:sz w:val="24"/>
        <w:szCs w:val="24"/>
      </w:rPr>
    </w:sdtEndPr>
    <w:sdtContent>
      <w:p>
        <w:pPr>
          <w:pStyle w:val="10"/>
          <w:jc w:val="right"/>
          <w:rPr>
            <w:rFonts w:hint="eastAsia" w:ascii="宋体" w:hAnsi="宋体" w:eastAsia="宋体"/>
            <w:sz w:val="24"/>
            <w:szCs w:val="24"/>
          </w:rPr>
        </w:pPr>
        <w:r>
          <w:rPr>
            <w:rFonts w:ascii="宋体" w:hAnsi="宋体" w:eastAsia="宋体"/>
            <w:sz w:val="24"/>
            <w:szCs w:val="24"/>
          </w:rPr>
          <w:fldChar w:fldCharType="begin"/>
        </w:r>
        <w:r>
          <w:rPr>
            <w:rFonts w:ascii="宋体" w:hAnsi="宋体" w:eastAsia="宋体"/>
            <w:sz w:val="24"/>
            <w:szCs w:val="24"/>
          </w:rPr>
          <w:instrText xml:space="preserve"> PAGE   \* MERGEFORMAT </w:instrText>
        </w:r>
        <w:r>
          <w:rPr>
            <w:rFonts w:ascii="宋体" w:hAnsi="宋体" w:eastAsia="宋体"/>
            <w:sz w:val="24"/>
            <w:szCs w:val="24"/>
          </w:rPr>
          <w:fldChar w:fldCharType="separate"/>
        </w:r>
        <w:r>
          <w:rPr>
            <w:rFonts w:ascii="宋体" w:hAnsi="宋体" w:eastAsia="宋体"/>
            <w:sz w:val="24"/>
            <w:szCs w:val="24"/>
            <w:lang w:val="zh-CN"/>
          </w:rPr>
          <w:t>-</w:t>
        </w:r>
        <w:r>
          <w:rPr>
            <w:rFonts w:ascii="宋体" w:hAnsi="宋体" w:eastAsia="宋体"/>
            <w:sz w:val="24"/>
            <w:szCs w:val="24"/>
          </w:rPr>
          <w:t xml:space="preserve"> 5 -</w:t>
        </w:r>
        <w:r>
          <w:rPr>
            <w:rFonts w:ascii="宋体" w:hAnsi="宋体" w:eastAsia="宋体"/>
            <w:sz w:val="24"/>
            <w:szCs w:val="24"/>
            <w:lang w:val="zh-CN"/>
          </w:rPr>
          <w:fldChar w:fldCharType="end"/>
        </w:r>
      </w:p>
    </w:sdtContent>
  </w:sdt>
  <w:p>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EndPr>
      <w:rPr>
        <w:rFonts w:ascii="宋体" w:hAnsi="宋体" w:eastAsia="宋体"/>
        <w:sz w:val="24"/>
        <w:szCs w:val="24"/>
      </w:rPr>
    </w:sdtEndPr>
    <w:sdtContent>
      <w:p>
        <w:pPr>
          <w:pStyle w:val="10"/>
          <w:rPr>
            <w:rFonts w:hint="eastAsia" w:ascii="宋体" w:hAnsi="宋体" w:eastAsia="宋体"/>
            <w:sz w:val="24"/>
            <w:szCs w:val="24"/>
          </w:rPr>
        </w:pPr>
        <w:r>
          <w:rPr>
            <w:rFonts w:ascii="宋体" w:hAnsi="宋体" w:eastAsia="宋体"/>
            <w:sz w:val="24"/>
            <w:szCs w:val="24"/>
          </w:rPr>
          <w:fldChar w:fldCharType="begin"/>
        </w:r>
        <w:r>
          <w:rPr>
            <w:rFonts w:ascii="宋体" w:hAnsi="宋体" w:eastAsia="宋体"/>
            <w:sz w:val="24"/>
            <w:szCs w:val="24"/>
          </w:rPr>
          <w:instrText xml:space="preserve">PAGE   \* MERGEFORMAT</w:instrText>
        </w:r>
        <w:r>
          <w:rPr>
            <w:rFonts w:ascii="宋体" w:hAnsi="宋体" w:eastAsia="宋体"/>
            <w:sz w:val="24"/>
            <w:szCs w:val="24"/>
          </w:rPr>
          <w:fldChar w:fldCharType="separate"/>
        </w:r>
        <w:r>
          <w:rPr>
            <w:rFonts w:ascii="宋体" w:hAnsi="宋体" w:eastAsia="宋体"/>
            <w:sz w:val="24"/>
            <w:szCs w:val="24"/>
            <w:lang w:val="zh-CN"/>
          </w:rPr>
          <w:t>-</w:t>
        </w:r>
        <w:r>
          <w:rPr>
            <w:rFonts w:ascii="宋体" w:hAnsi="宋体" w:eastAsia="宋体"/>
            <w:sz w:val="24"/>
            <w:szCs w:val="24"/>
          </w:rPr>
          <w:t xml:space="preserve"> 2 -</w:t>
        </w:r>
        <w:r>
          <w:rPr>
            <w:rFonts w:ascii="宋体" w:hAnsi="宋体" w:eastAsia="宋体"/>
            <w:sz w:val="24"/>
            <w:szCs w:val="24"/>
          </w:rPr>
          <w:fldChar w:fldCharType="end"/>
        </w:r>
      </w:p>
    </w:sdtContent>
  </w:sdt>
  <w:p>
    <w:pPr>
      <w:pStyle w:val="10"/>
      <w:tabs>
        <w:tab w:val="left" w:pos="3583"/>
        <w:tab w:val="clear" w:pos="4153"/>
        <w:tab w:val="clear" w:pos="8306"/>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EEA52EE"/>
    <w:multiLevelType w:val="singleLevel"/>
    <w:tmpl w:val="EEEA52EE"/>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TrueTypeFonts/>
  <w:embedSystemFonts/>
  <w:saveSubsetFonts/>
  <w:bordersDoNotSurroundHeader w:val="1"/>
  <w:bordersDoNotSurroundFooter w:val="1"/>
  <w:documentProtection w:enforcement="0"/>
  <w:defaultTabStop w:val="720"/>
  <w:evenAndOddHeaders w:val="1"/>
  <w:characterSpacingControl w:val="doNotCompress"/>
  <w:noLineBreaksAfter w:lang="zh-CN" w:val="$([{£¥·‘“〈《「『【〔〖〝﹙﹛﹝＄（．［｛￡￥"/>
  <w:noLineBreaksBefore w:lang="zh-CN" w:val="!%),.:;&gt;?]}¢¨°·ˇˉ―‖’”…‰′″›℃∶、。〃〉》」』】〕〗〞︶︺︾﹀﹄﹚﹜﹞！＂％＇），．：；？］｀｜｝～￠"/>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gwZDQ2ZDRjNTQyYzUxN2ZjYWQzZmQ1ZGZiMjhmOGQifQ=="/>
  </w:docVars>
  <w:rsids>
    <w:rsidRoot w:val="00D31D50"/>
    <w:rsid w:val="0000280A"/>
    <w:rsid w:val="00005413"/>
    <w:rsid w:val="00012362"/>
    <w:rsid w:val="0001427E"/>
    <w:rsid w:val="00022A11"/>
    <w:rsid w:val="000249F7"/>
    <w:rsid w:val="00024D52"/>
    <w:rsid w:val="000254A9"/>
    <w:rsid w:val="00027523"/>
    <w:rsid w:val="00027E6E"/>
    <w:rsid w:val="00031547"/>
    <w:rsid w:val="000324D7"/>
    <w:rsid w:val="00051B3B"/>
    <w:rsid w:val="00052BFB"/>
    <w:rsid w:val="0005327B"/>
    <w:rsid w:val="00055C50"/>
    <w:rsid w:val="000571D9"/>
    <w:rsid w:val="00073B94"/>
    <w:rsid w:val="00076703"/>
    <w:rsid w:val="0008272A"/>
    <w:rsid w:val="0008275C"/>
    <w:rsid w:val="000843F3"/>
    <w:rsid w:val="000A0196"/>
    <w:rsid w:val="000A2978"/>
    <w:rsid w:val="000A6602"/>
    <w:rsid w:val="000B2325"/>
    <w:rsid w:val="000B2A56"/>
    <w:rsid w:val="000B394E"/>
    <w:rsid w:val="000B3983"/>
    <w:rsid w:val="000B7D30"/>
    <w:rsid w:val="000C336A"/>
    <w:rsid w:val="000C430B"/>
    <w:rsid w:val="000C631C"/>
    <w:rsid w:val="000C6DD6"/>
    <w:rsid w:val="000D2384"/>
    <w:rsid w:val="000D48FD"/>
    <w:rsid w:val="000D75DF"/>
    <w:rsid w:val="000E58D6"/>
    <w:rsid w:val="000F33D8"/>
    <w:rsid w:val="000F4213"/>
    <w:rsid w:val="000F685C"/>
    <w:rsid w:val="000F718A"/>
    <w:rsid w:val="00100635"/>
    <w:rsid w:val="00100762"/>
    <w:rsid w:val="00101501"/>
    <w:rsid w:val="001035EB"/>
    <w:rsid w:val="00104A5A"/>
    <w:rsid w:val="00105AB6"/>
    <w:rsid w:val="00110277"/>
    <w:rsid w:val="001140FB"/>
    <w:rsid w:val="0011707B"/>
    <w:rsid w:val="00122553"/>
    <w:rsid w:val="001260DA"/>
    <w:rsid w:val="001304F9"/>
    <w:rsid w:val="00130E63"/>
    <w:rsid w:val="00133AC9"/>
    <w:rsid w:val="00142E89"/>
    <w:rsid w:val="00143619"/>
    <w:rsid w:val="001439ED"/>
    <w:rsid w:val="00151D7D"/>
    <w:rsid w:val="001525EC"/>
    <w:rsid w:val="00153701"/>
    <w:rsid w:val="0015379D"/>
    <w:rsid w:val="001539DB"/>
    <w:rsid w:val="001610A4"/>
    <w:rsid w:val="00162636"/>
    <w:rsid w:val="00162E95"/>
    <w:rsid w:val="00163C3A"/>
    <w:rsid w:val="001726CC"/>
    <w:rsid w:val="00173216"/>
    <w:rsid w:val="001737F0"/>
    <w:rsid w:val="001751C4"/>
    <w:rsid w:val="00177C02"/>
    <w:rsid w:val="00180543"/>
    <w:rsid w:val="001819D2"/>
    <w:rsid w:val="0018239D"/>
    <w:rsid w:val="00182E47"/>
    <w:rsid w:val="00182F81"/>
    <w:rsid w:val="0018618B"/>
    <w:rsid w:val="00186BC9"/>
    <w:rsid w:val="00187C0A"/>
    <w:rsid w:val="00190C48"/>
    <w:rsid w:val="001944D4"/>
    <w:rsid w:val="001A24D2"/>
    <w:rsid w:val="001A2683"/>
    <w:rsid w:val="001A3405"/>
    <w:rsid w:val="001A56EB"/>
    <w:rsid w:val="001A58B1"/>
    <w:rsid w:val="001A6E2B"/>
    <w:rsid w:val="001B2565"/>
    <w:rsid w:val="001B5220"/>
    <w:rsid w:val="001C19D7"/>
    <w:rsid w:val="001C4911"/>
    <w:rsid w:val="001D187F"/>
    <w:rsid w:val="001D1A0D"/>
    <w:rsid w:val="001D1FA4"/>
    <w:rsid w:val="001D410B"/>
    <w:rsid w:val="001D52B6"/>
    <w:rsid w:val="001F0BC1"/>
    <w:rsid w:val="001F1C9F"/>
    <w:rsid w:val="001F3998"/>
    <w:rsid w:val="001F4042"/>
    <w:rsid w:val="001F5E9A"/>
    <w:rsid w:val="001F7044"/>
    <w:rsid w:val="00200BA1"/>
    <w:rsid w:val="002026FD"/>
    <w:rsid w:val="00203027"/>
    <w:rsid w:val="0020529E"/>
    <w:rsid w:val="00205699"/>
    <w:rsid w:val="0020595D"/>
    <w:rsid w:val="00205AF0"/>
    <w:rsid w:val="00205C21"/>
    <w:rsid w:val="00206E20"/>
    <w:rsid w:val="0020749E"/>
    <w:rsid w:val="00210090"/>
    <w:rsid w:val="002117F5"/>
    <w:rsid w:val="00212028"/>
    <w:rsid w:val="0021343E"/>
    <w:rsid w:val="002141F4"/>
    <w:rsid w:val="00214F33"/>
    <w:rsid w:val="0023404C"/>
    <w:rsid w:val="00234ACF"/>
    <w:rsid w:val="0024513E"/>
    <w:rsid w:val="00246BCA"/>
    <w:rsid w:val="00247739"/>
    <w:rsid w:val="0025367B"/>
    <w:rsid w:val="002539C1"/>
    <w:rsid w:val="00253A87"/>
    <w:rsid w:val="00263EB2"/>
    <w:rsid w:val="002652BB"/>
    <w:rsid w:val="00271B6C"/>
    <w:rsid w:val="00272957"/>
    <w:rsid w:val="0027504E"/>
    <w:rsid w:val="00282F43"/>
    <w:rsid w:val="002869A0"/>
    <w:rsid w:val="0029493A"/>
    <w:rsid w:val="00295320"/>
    <w:rsid w:val="00295C1F"/>
    <w:rsid w:val="00295CF8"/>
    <w:rsid w:val="002A1CA9"/>
    <w:rsid w:val="002A3988"/>
    <w:rsid w:val="002B5163"/>
    <w:rsid w:val="002B5740"/>
    <w:rsid w:val="002C5AC4"/>
    <w:rsid w:val="002C613C"/>
    <w:rsid w:val="002D2D60"/>
    <w:rsid w:val="002D341E"/>
    <w:rsid w:val="002D5D7E"/>
    <w:rsid w:val="002E1CE2"/>
    <w:rsid w:val="002E6C4B"/>
    <w:rsid w:val="002F20CF"/>
    <w:rsid w:val="002F230E"/>
    <w:rsid w:val="002F234F"/>
    <w:rsid w:val="002F468C"/>
    <w:rsid w:val="003072CB"/>
    <w:rsid w:val="00310EBE"/>
    <w:rsid w:val="00312153"/>
    <w:rsid w:val="0032202C"/>
    <w:rsid w:val="00322A99"/>
    <w:rsid w:val="00322D81"/>
    <w:rsid w:val="00323B43"/>
    <w:rsid w:val="00324F1C"/>
    <w:rsid w:val="00325DA9"/>
    <w:rsid w:val="003271FD"/>
    <w:rsid w:val="00327C34"/>
    <w:rsid w:val="0033065C"/>
    <w:rsid w:val="00331D0A"/>
    <w:rsid w:val="00336368"/>
    <w:rsid w:val="00341FEC"/>
    <w:rsid w:val="0034256F"/>
    <w:rsid w:val="00344077"/>
    <w:rsid w:val="00344088"/>
    <w:rsid w:val="00344EE4"/>
    <w:rsid w:val="00345664"/>
    <w:rsid w:val="00347B05"/>
    <w:rsid w:val="0035069F"/>
    <w:rsid w:val="00351009"/>
    <w:rsid w:val="003519E1"/>
    <w:rsid w:val="00354059"/>
    <w:rsid w:val="00355AD9"/>
    <w:rsid w:val="00356F68"/>
    <w:rsid w:val="00362D5C"/>
    <w:rsid w:val="00363B46"/>
    <w:rsid w:val="00366CF8"/>
    <w:rsid w:val="00372E0F"/>
    <w:rsid w:val="00373DFE"/>
    <w:rsid w:val="00374BA7"/>
    <w:rsid w:val="00377A8F"/>
    <w:rsid w:val="0038065A"/>
    <w:rsid w:val="003807AF"/>
    <w:rsid w:val="00383C37"/>
    <w:rsid w:val="00386674"/>
    <w:rsid w:val="003869F6"/>
    <w:rsid w:val="00392EF8"/>
    <w:rsid w:val="00394CAD"/>
    <w:rsid w:val="00395B58"/>
    <w:rsid w:val="0039781C"/>
    <w:rsid w:val="003A0B12"/>
    <w:rsid w:val="003A65D5"/>
    <w:rsid w:val="003B00BE"/>
    <w:rsid w:val="003B42A0"/>
    <w:rsid w:val="003B55E7"/>
    <w:rsid w:val="003B5AED"/>
    <w:rsid w:val="003B7935"/>
    <w:rsid w:val="003C136C"/>
    <w:rsid w:val="003C5250"/>
    <w:rsid w:val="003C790B"/>
    <w:rsid w:val="003C79D5"/>
    <w:rsid w:val="003D2635"/>
    <w:rsid w:val="003D37D8"/>
    <w:rsid w:val="003D49DE"/>
    <w:rsid w:val="003D4CE9"/>
    <w:rsid w:val="003E0DB3"/>
    <w:rsid w:val="003E1528"/>
    <w:rsid w:val="003E4089"/>
    <w:rsid w:val="003E5E59"/>
    <w:rsid w:val="003F2A20"/>
    <w:rsid w:val="003F3640"/>
    <w:rsid w:val="003F4D30"/>
    <w:rsid w:val="00402DBD"/>
    <w:rsid w:val="00406F5B"/>
    <w:rsid w:val="0041073B"/>
    <w:rsid w:val="00411BC5"/>
    <w:rsid w:val="004167B9"/>
    <w:rsid w:val="00416868"/>
    <w:rsid w:val="00424512"/>
    <w:rsid w:val="00425410"/>
    <w:rsid w:val="00426133"/>
    <w:rsid w:val="0042797C"/>
    <w:rsid w:val="004358AB"/>
    <w:rsid w:val="0044628F"/>
    <w:rsid w:val="0044665A"/>
    <w:rsid w:val="004479DB"/>
    <w:rsid w:val="004500AA"/>
    <w:rsid w:val="00450988"/>
    <w:rsid w:val="004523FE"/>
    <w:rsid w:val="00453944"/>
    <w:rsid w:val="00453F6D"/>
    <w:rsid w:val="00454AA7"/>
    <w:rsid w:val="004570F4"/>
    <w:rsid w:val="00462572"/>
    <w:rsid w:val="004633F0"/>
    <w:rsid w:val="00463F7C"/>
    <w:rsid w:val="00470D65"/>
    <w:rsid w:val="00474595"/>
    <w:rsid w:val="00474B0E"/>
    <w:rsid w:val="00475603"/>
    <w:rsid w:val="00481A45"/>
    <w:rsid w:val="00483FE2"/>
    <w:rsid w:val="0048416A"/>
    <w:rsid w:val="0048447C"/>
    <w:rsid w:val="00485458"/>
    <w:rsid w:val="0048736E"/>
    <w:rsid w:val="0049159A"/>
    <w:rsid w:val="004A235A"/>
    <w:rsid w:val="004A6F9F"/>
    <w:rsid w:val="004B00BB"/>
    <w:rsid w:val="004B3F43"/>
    <w:rsid w:val="004B49B4"/>
    <w:rsid w:val="004B5D4E"/>
    <w:rsid w:val="004B5E6B"/>
    <w:rsid w:val="004B6FF4"/>
    <w:rsid w:val="004B76FF"/>
    <w:rsid w:val="004C3A20"/>
    <w:rsid w:val="004C69C6"/>
    <w:rsid w:val="004D3F39"/>
    <w:rsid w:val="004E249A"/>
    <w:rsid w:val="004E523F"/>
    <w:rsid w:val="004E5B86"/>
    <w:rsid w:val="004F2D87"/>
    <w:rsid w:val="004F3C4D"/>
    <w:rsid w:val="004F4F4B"/>
    <w:rsid w:val="004F5234"/>
    <w:rsid w:val="004F6D0A"/>
    <w:rsid w:val="004F71D0"/>
    <w:rsid w:val="0050043C"/>
    <w:rsid w:val="005012E2"/>
    <w:rsid w:val="00501CB5"/>
    <w:rsid w:val="005145B2"/>
    <w:rsid w:val="005153D8"/>
    <w:rsid w:val="00516D1E"/>
    <w:rsid w:val="005220EB"/>
    <w:rsid w:val="0052444F"/>
    <w:rsid w:val="00526579"/>
    <w:rsid w:val="00530C32"/>
    <w:rsid w:val="0053125B"/>
    <w:rsid w:val="00531736"/>
    <w:rsid w:val="00531EF4"/>
    <w:rsid w:val="005423D4"/>
    <w:rsid w:val="00547B28"/>
    <w:rsid w:val="00550284"/>
    <w:rsid w:val="0055058A"/>
    <w:rsid w:val="005519EE"/>
    <w:rsid w:val="00551C81"/>
    <w:rsid w:val="00552584"/>
    <w:rsid w:val="00553D6B"/>
    <w:rsid w:val="0055729E"/>
    <w:rsid w:val="00563094"/>
    <w:rsid w:val="0056403B"/>
    <w:rsid w:val="005735CB"/>
    <w:rsid w:val="00575381"/>
    <w:rsid w:val="005766AC"/>
    <w:rsid w:val="005809FC"/>
    <w:rsid w:val="005842E6"/>
    <w:rsid w:val="00584499"/>
    <w:rsid w:val="00587048"/>
    <w:rsid w:val="00587886"/>
    <w:rsid w:val="00591289"/>
    <w:rsid w:val="005A1E01"/>
    <w:rsid w:val="005A259B"/>
    <w:rsid w:val="005A75E9"/>
    <w:rsid w:val="005B2E31"/>
    <w:rsid w:val="005B78D6"/>
    <w:rsid w:val="005C5AA1"/>
    <w:rsid w:val="005D0F2C"/>
    <w:rsid w:val="005D2F9C"/>
    <w:rsid w:val="005D35DE"/>
    <w:rsid w:val="005D5059"/>
    <w:rsid w:val="005D6E7A"/>
    <w:rsid w:val="005E1CFB"/>
    <w:rsid w:val="005E569D"/>
    <w:rsid w:val="005F51E0"/>
    <w:rsid w:val="005F66D1"/>
    <w:rsid w:val="0060029F"/>
    <w:rsid w:val="00610443"/>
    <w:rsid w:val="00612746"/>
    <w:rsid w:val="006159AE"/>
    <w:rsid w:val="00616E3C"/>
    <w:rsid w:val="00621C39"/>
    <w:rsid w:val="00622B52"/>
    <w:rsid w:val="00623219"/>
    <w:rsid w:val="00624147"/>
    <w:rsid w:val="00624D43"/>
    <w:rsid w:val="0062532D"/>
    <w:rsid w:val="0062599D"/>
    <w:rsid w:val="006328D4"/>
    <w:rsid w:val="00633819"/>
    <w:rsid w:val="006373CA"/>
    <w:rsid w:val="00640C65"/>
    <w:rsid w:val="00642C25"/>
    <w:rsid w:val="00642D95"/>
    <w:rsid w:val="00663EC7"/>
    <w:rsid w:val="006711AE"/>
    <w:rsid w:val="00672B2B"/>
    <w:rsid w:val="006746D8"/>
    <w:rsid w:val="00675448"/>
    <w:rsid w:val="00675C01"/>
    <w:rsid w:val="00676CB1"/>
    <w:rsid w:val="00686446"/>
    <w:rsid w:val="00687E6C"/>
    <w:rsid w:val="00694F89"/>
    <w:rsid w:val="00696215"/>
    <w:rsid w:val="0069680E"/>
    <w:rsid w:val="0069688C"/>
    <w:rsid w:val="0069723A"/>
    <w:rsid w:val="006A0A4C"/>
    <w:rsid w:val="006A10A2"/>
    <w:rsid w:val="006A548A"/>
    <w:rsid w:val="006B274E"/>
    <w:rsid w:val="006B360C"/>
    <w:rsid w:val="006B68D3"/>
    <w:rsid w:val="006C07F6"/>
    <w:rsid w:val="006C18EE"/>
    <w:rsid w:val="006C1F86"/>
    <w:rsid w:val="006C334F"/>
    <w:rsid w:val="006C4871"/>
    <w:rsid w:val="006D0EEF"/>
    <w:rsid w:val="006D0FC0"/>
    <w:rsid w:val="006D123A"/>
    <w:rsid w:val="006D26A5"/>
    <w:rsid w:val="006D2BE2"/>
    <w:rsid w:val="006D4391"/>
    <w:rsid w:val="006D4783"/>
    <w:rsid w:val="006D4AAB"/>
    <w:rsid w:val="006D5D7A"/>
    <w:rsid w:val="006D5E09"/>
    <w:rsid w:val="006D6D9E"/>
    <w:rsid w:val="006D710A"/>
    <w:rsid w:val="006E06EE"/>
    <w:rsid w:val="006E2B24"/>
    <w:rsid w:val="006E2E1D"/>
    <w:rsid w:val="006E4DDC"/>
    <w:rsid w:val="006F41AA"/>
    <w:rsid w:val="006F5C7E"/>
    <w:rsid w:val="006F5D63"/>
    <w:rsid w:val="006F6228"/>
    <w:rsid w:val="00700F51"/>
    <w:rsid w:val="00700F5D"/>
    <w:rsid w:val="00703F64"/>
    <w:rsid w:val="0070712E"/>
    <w:rsid w:val="0071078E"/>
    <w:rsid w:val="00710950"/>
    <w:rsid w:val="0071445B"/>
    <w:rsid w:val="00714D9E"/>
    <w:rsid w:val="00715E23"/>
    <w:rsid w:val="007163FA"/>
    <w:rsid w:val="007169E6"/>
    <w:rsid w:val="00720EFF"/>
    <w:rsid w:val="00723C16"/>
    <w:rsid w:val="00727E1B"/>
    <w:rsid w:val="00727EDF"/>
    <w:rsid w:val="007334BA"/>
    <w:rsid w:val="00736C26"/>
    <w:rsid w:val="0073779A"/>
    <w:rsid w:val="00742358"/>
    <w:rsid w:val="0074515F"/>
    <w:rsid w:val="0074780D"/>
    <w:rsid w:val="00754BD6"/>
    <w:rsid w:val="0076247C"/>
    <w:rsid w:val="0076286C"/>
    <w:rsid w:val="00762C52"/>
    <w:rsid w:val="0076439B"/>
    <w:rsid w:val="00765182"/>
    <w:rsid w:val="00766659"/>
    <w:rsid w:val="00766676"/>
    <w:rsid w:val="007706C2"/>
    <w:rsid w:val="007708BC"/>
    <w:rsid w:val="00771E2D"/>
    <w:rsid w:val="00773AB5"/>
    <w:rsid w:val="0077469B"/>
    <w:rsid w:val="00775A95"/>
    <w:rsid w:val="00775D0C"/>
    <w:rsid w:val="00776AAE"/>
    <w:rsid w:val="0078530B"/>
    <w:rsid w:val="007900CE"/>
    <w:rsid w:val="00791B97"/>
    <w:rsid w:val="00797DBC"/>
    <w:rsid w:val="007A076E"/>
    <w:rsid w:val="007A1084"/>
    <w:rsid w:val="007A453D"/>
    <w:rsid w:val="007A4DF8"/>
    <w:rsid w:val="007A5545"/>
    <w:rsid w:val="007C5210"/>
    <w:rsid w:val="007C543E"/>
    <w:rsid w:val="007C56D2"/>
    <w:rsid w:val="007C5717"/>
    <w:rsid w:val="007D1EF4"/>
    <w:rsid w:val="007D4830"/>
    <w:rsid w:val="007D5C2B"/>
    <w:rsid w:val="007E0F74"/>
    <w:rsid w:val="007E13FC"/>
    <w:rsid w:val="007E144D"/>
    <w:rsid w:val="007E1A83"/>
    <w:rsid w:val="007E3983"/>
    <w:rsid w:val="007E3B53"/>
    <w:rsid w:val="007F09CD"/>
    <w:rsid w:val="007F1DEA"/>
    <w:rsid w:val="007F453D"/>
    <w:rsid w:val="007F5F9E"/>
    <w:rsid w:val="007F68CC"/>
    <w:rsid w:val="00803FBC"/>
    <w:rsid w:val="00804C79"/>
    <w:rsid w:val="008055EA"/>
    <w:rsid w:val="00806F45"/>
    <w:rsid w:val="00807880"/>
    <w:rsid w:val="00810AF1"/>
    <w:rsid w:val="00816B11"/>
    <w:rsid w:val="00817441"/>
    <w:rsid w:val="00823572"/>
    <w:rsid w:val="00823878"/>
    <w:rsid w:val="00833757"/>
    <w:rsid w:val="0083572A"/>
    <w:rsid w:val="008360C8"/>
    <w:rsid w:val="008447F0"/>
    <w:rsid w:val="008453EA"/>
    <w:rsid w:val="00847C4B"/>
    <w:rsid w:val="00850696"/>
    <w:rsid w:val="00862161"/>
    <w:rsid w:val="00866255"/>
    <w:rsid w:val="00867A46"/>
    <w:rsid w:val="00870ABA"/>
    <w:rsid w:val="008714E2"/>
    <w:rsid w:val="00871548"/>
    <w:rsid w:val="008728C3"/>
    <w:rsid w:val="008826D9"/>
    <w:rsid w:val="00886659"/>
    <w:rsid w:val="00886C6A"/>
    <w:rsid w:val="00887C6F"/>
    <w:rsid w:val="00891D7E"/>
    <w:rsid w:val="00894858"/>
    <w:rsid w:val="00894A19"/>
    <w:rsid w:val="00894E98"/>
    <w:rsid w:val="00897D1D"/>
    <w:rsid w:val="008A0E0F"/>
    <w:rsid w:val="008B1BF6"/>
    <w:rsid w:val="008B7726"/>
    <w:rsid w:val="008C2229"/>
    <w:rsid w:val="008C3479"/>
    <w:rsid w:val="008D0A7D"/>
    <w:rsid w:val="008D4F16"/>
    <w:rsid w:val="008E0A1D"/>
    <w:rsid w:val="008E5759"/>
    <w:rsid w:val="008E6A23"/>
    <w:rsid w:val="008E7144"/>
    <w:rsid w:val="008F28C6"/>
    <w:rsid w:val="008F3689"/>
    <w:rsid w:val="008F7C44"/>
    <w:rsid w:val="009008B1"/>
    <w:rsid w:val="00901527"/>
    <w:rsid w:val="00902301"/>
    <w:rsid w:val="00902AA0"/>
    <w:rsid w:val="009033EA"/>
    <w:rsid w:val="009034CA"/>
    <w:rsid w:val="00906BA6"/>
    <w:rsid w:val="00910B64"/>
    <w:rsid w:val="00912BAC"/>
    <w:rsid w:val="009138CC"/>
    <w:rsid w:val="009151AA"/>
    <w:rsid w:val="00920004"/>
    <w:rsid w:val="00920A78"/>
    <w:rsid w:val="009237F7"/>
    <w:rsid w:val="00923E1A"/>
    <w:rsid w:val="00924027"/>
    <w:rsid w:val="00931822"/>
    <w:rsid w:val="00931CA3"/>
    <w:rsid w:val="00934737"/>
    <w:rsid w:val="00942DE2"/>
    <w:rsid w:val="00946EAE"/>
    <w:rsid w:val="009536E7"/>
    <w:rsid w:val="0095630D"/>
    <w:rsid w:val="00956EF9"/>
    <w:rsid w:val="00961BED"/>
    <w:rsid w:val="009653E3"/>
    <w:rsid w:val="009704D4"/>
    <w:rsid w:val="00971F12"/>
    <w:rsid w:val="009748E3"/>
    <w:rsid w:val="00975ED8"/>
    <w:rsid w:val="0097710A"/>
    <w:rsid w:val="0098162D"/>
    <w:rsid w:val="00991F6D"/>
    <w:rsid w:val="009930A6"/>
    <w:rsid w:val="009A182D"/>
    <w:rsid w:val="009A1C84"/>
    <w:rsid w:val="009A4413"/>
    <w:rsid w:val="009A6B09"/>
    <w:rsid w:val="009B0B62"/>
    <w:rsid w:val="009B61A0"/>
    <w:rsid w:val="009B6AFC"/>
    <w:rsid w:val="009C0494"/>
    <w:rsid w:val="009C7457"/>
    <w:rsid w:val="009D53F4"/>
    <w:rsid w:val="009E3569"/>
    <w:rsid w:val="009E4D99"/>
    <w:rsid w:val="009E501C"/>
    <w:rsid w:val="009E6230"/>
    <w:rsid w:val="009E7358"/>
    <w:rsid w:val="009F1DB9"/>
    <w:rsid w:val="009F2181"/>
    <w:rsid w:val="009F3BC2"/>
    <w:rsid w:val="00A00F13"/>
    <w:rsid w:val="00A0585B"/>
    <w:rsid w:val="00A07866"/>
    <w:rsid w:val="00A12815"/>
    <w:rsid w:val="00A160DC"/>
    <w:rsid w:val="00A21EB3"/>
    <w:rsid w:val="00A2613B"/>
    <w:rsid w:val="00A262DD"/>
    <w:rsid w:val="00A3387B"/>
    <w:rsid w:val="00A352AE"/>
    <w:rsid w:val="00A37820"/>
    <w:rsid w:val="00A406C2"/>
    <w:rsid w:val="00A4363D"/>
    <w:rsid w:val="00A463AC"/>
    <w:rsid w:val="00A46BAC"/>
    <w:rsid w:val="00A475AC"/>
    <w:rsid w:val="00A516AD"/>
    <w:rsid w:val="00A565CA"/>
    <w:rsid w:val="00A61D68"/>
    <w:rsid w:val="00A62658"/>
    <w:rsid w:val="00A62E1C"/>
    <w:rsid w:val="00A6337E"/>
    <w:rsid w:val="00A645F0"/>
    <w:rsid w:val="00A66D25"/>
    <w:rsid w:val="00A72C19"/>
    <w:rsid w:val="00A7394C"/>
    <w:rsid w:val="00A75DB8"/>
    <w:rsid w:val="00A76A8A"/>
    <w:rsid w:val="00A84DDD"/>
    <w:rsid w:val="00A9118E"/>
    <w:rsid w:val="00A93BC3"/>
    <w:rsid w:val="00A9453E"/>
    <w:rsid w:val="00AA02EB"/>
    <w:rsid w:val="00AA2D54"/>
    <w:rsid w:val="00AA356E"/>
    <w:rsid w:val="00AA4711"/>
    <w:rsid w:val="00AA751E"/>
    <w:rsid w:val="00AB797C"/>
    <w:rsid w:val="00AC1824"/>
    <w:rsid w:val="00AC3780"/>
    <w:rsid w:val="00AC6FFE"/>
    <w:rsid w:val="00AD2940"/>
    <w:rsid w:val="00AD4128"/>
    <w:rsid w:val="00AD5A64"/>
    <w:rsid w:val="00AE33AE"/>
    <w:rsid w:val="00AE7897"/>
    <w:rsid w:val="00AE7C35"/>
    <w:rsid w:val="00AF0CFD"/>
    <w:rsid w:val="00AF2DC2"/>
    <w:rsid w:val="00AF52C3"/>
    <w:rsid w:val="00AF6578"/>
    <w:rsid w:val="00AF717A"/>
    <w:rsid w:val="00B05C00"/>
    <w:rsid w:val="00B109A1"/>
    <w:rsid w:val="00B10DAF"/>
    <w:rsid w:val="00B12DD6"/>
    <w:rsid w:val="00B2238E"/>
    <w:rsid w:val="00B31E24"/>
    <w:rsid w:val="00B3272C"/>
    <w:rsid w:val="00B35FF0"/>
    <w:rsid w:val="00B47E5B"/>
    <w:rsid w:val="00B51D02"/>
    <w:rsid w:val="00B53C55"/>
    <w:rsid w:val="00B53EF0"/>
    <w:rsid w:val="00B55796"/>
    <w:rsid w:val="00B6138A"/>
    <w:rsid w:val="00B70AD8"/>
    <w:rsid w:val="00B7105E"/>
    <w:rsid w:val="00B736CD"/>
    <w:rsid w:val="00B738A4"/>
    <w:rsid w:val="00B76A8D"/>
    <w:rsid w:val="00B76CA6"/>
    <w:rsid w:val="00B80A7C"/>
    <w:rsid w:val="00B8551A"/>
    <w:rsid w:val="00B93390"/>
    <w:rsid w:val="00B946C0"/>
    <w:rsid w:val="00BA2518"/>
    <w:rsid w:val="00BA3973"/>
    <w:rsid w:val="00BA7552"/>
    <w:rsid w:val="00BB4A05"/>
    <w:rsid w:val="00BC0F15"/>
    <w:rsid w:val="00BC78D4"/>
    <w:rsid w:val="00BD12FB"/>
    <w:rsid w:val="00BD291F"/>
    <w:rsid w:val="00BD450C"/>
    <w:rsid w:val="00BD4CF9"/>
    <w:rsid w:val="00BD533F"/>
    <w:rsid w:val="00BD59CA"/>
    <w:rsid w:val="00BD5E16"/>
    <w:rsid w:val="00BD6843"/>
    <w:rsid w:val="00BD6911"/>
    <w:rsid w:val="00BD7019"/>
    <w:rsid w:val="00BD781A"/>
    <w:rsid w:val="00BE3403"/>
    <w:rsid w:val="00BE6F95"/>
    <w:rsid w:val="00BE7964"/>
    <w:rsid w:val="00BF02CA"/>
    <w:rsid w:val="00BF2884"/>
    <w:rsid w:val="00BF317E"/>
    <w:rsid w:val="00BF6F9E"/>
    <w:rsid w:val="00C02053"/>
    <w:rsid w:val="00C16D90"/>
    <w:rsid w:val="00C20C35"/>
    <w:rsid w:val="00C3119C"/>
    <w:rsid w:val="00C40ED3"/>
    <w:rsid w:val="00C471DF"/>
    <w:rsid w:val="00C52A07"/>
    <w:rsid w:val="00C53243"/>
    <w:rsid w:val="00C54C48"/>
    <w:rsid w:val="00C55BFB"/>
    <w:rsid w:val="00C61EE0"/>
    <w:rsid w:val="00C62319"/>
    <w:rsid w:val="00C6463C"/>
    <w:rsid w:val="00C65440"/>
    <w:rsid w:val="00C70B05"/>
    <w:rsid w:val="00C71BB3"/>
    <w:rsid w:val="00C72094"/>
    <w:rsid w:val="00C73810"/>
    <w:rsid w:val="00C77D02"/>
    <w:rsid w:val="00C803DA"/>
    <w:rsid w:val="00C8520E"/>
    <w:rsid w:val="00C86AC9"/>
    <w:rsid w:val="00C902A8"/>
    <w:rsid w:val="00C92977"/>
    <w:rsid w:val="00C92A90"/>
    <w:rsid w:val="00C93630"/>
    <w:rsid w:val="00CA46FB"/>
    <w:rsid w:val="00CA5D52"/>
    <w:rsid w:val="00CB450F"/>
    <w:rsid w:val="00CC17FA"/>
    <w:rsid w:val="00CC1E9F"/>
    <w:rsid w:val="00CC3BB9"/>
    <w:rsid w:val="00CC4326"/>
    <w:rsid w:val="00CD22ED"/>
    <w:rsid w:val="00CD2545"/>
    <w:rsid w:val="00CD28F4"/>
    <w:rsid w:val="00CD707A"/>
    <w:rsid w:val="00CD7093"/>
    <w:rsid w:val="00CD7746"/>
    <w:rsid w:val="00CE17E3"/>
    <w:rsid w:val="00CE3697"/>
    <w:rsid w:val="00CE54A7"/>
    <w:rsid w:val="00CE6339"/>
    <w:rsid w:val="00CE684D"/>
    <w:rsid w:val="00CF1E5B"/>
    <w:rsid w:val="00CF73B7"/>
    <w:rsid w:val="00D062A5"/>
    <w:rsid w:val="00D13339"/>
    <w:rsid w:val="00D166FB"/>
    <w:rsid w:val="00D27D59"/>
    <w:rsid w:val="00D31D50"/>
    <w:rsid w:val="00D32B68"/>
    <w:rsid w:val="00D34CE6"/>
    <w:rsid w:val="00D41748"/>
    <w:rsid w:val="00D50505"/>
    <w:rsid w:val="00D51EAA"/>
    <w:rsid w:val="00D5662C"/>
    <w:rsid w:val="00D61812"/>
    <w:rsid w:val="00D6251B"/>
    <w:rsid w:val="00D664E2"/>
    <w:rsid w:val="00D67F06"/>
    <w:rsid w:val="00D72A99"/>
    <w:rsid w:val="00D740BC"/>
    <w:rsid w:val="00D747D3"/>
    <w:rsid w:val="00D76E58"/>
    <w:rsid w:val="00D809C4"/>
    <w:rsid w:val="00D823E9"/>
    <w:rsid w:val="00D82F27"/>
    <w:rsid w:val="00D83DBD"/>
    <w:rsid w:val="00D84E09"/>
    <w:rsid w:val="00D8525E"/>
    <w:rsid w:val="00D90F08"/>
    <w:rsid w:val="00D91B40"/>
    <w:rsid w:val="00D94AB0"/>
    <w:rsid w:val="00D964D4"/>
    <w:rsid w:val="00D9669F"/>
    <w:rsid w:val="00DA0F7A"/>
    <w:rsid w:val="00DA7B61"/>
    <w:rsid w:val="00DB0BC5"/>
    <w:rsid w:val="00DB4FFF"/>
    <w:rsid w:val="00DC083F"/>
    <w:rsid w:val="00DC19BF"/>
    <w:rsid w:val="00DC3FD2"/>
    <w:rsid w:val="00DC6F3B"/>
    <w:rsid w:val="00DC791C"/>
    <w:rsid w:val="00DD0CC2"/>
    <w:rsid w:val="00DD144B"/>
    <w:rsid w:val="00DD161A"/>
    <w:rsid w:val="00DD1776"/>
    <w:rsid w:val="00DD1C6A"/>
    <w:rsid w:val="00DE212D"/>
    <w:rsid w:val="00DE4B69"/>
    <w:rsid w:val="00DE4FFE"/>
    <w:rsid w:val="00DE596E"/>
    <w:rsid w:val="00DE5970"/>
    <w:rsid w:val="00DE6A04"/>
    <w:rsid w:val="00DF58ED"/>
    <w:rsid w:val="00DF7BE9"/>
    <w:rsid w:val="00E00366"/>
    <w:rsid w:val="00E02C79"/>
    <w:rsid w:val="00E03514"/>
    <w:rsid w:val="00E042B7"/>
    <w:rsid w:val="00E0709B"/>
    <w:rsid w:val="00E125D0"/>
    <w:rsid w:val="00E15A1E"/>
    <w:rsid w:val="00E1781E"/>
    <w:rsid w:val="00E226B5"/>
    <w:rsid w:val="00E229BF"/>
    <w:rsid w:val="00E2326F"/>
    <w:rsid w:val="00E2461D"/>
    <w:rsid w:val="00E24B74"/>
    <w:rsid w:val="00E24EB1"/>
    <w:rsid w:val="00E301B1"/>
    <w:rsid w:val="00E32227"/>
    <w:rsid w:val="00E34B30"/>
    <w:rsid w:val="00E37772"/>
    <w:rsid w:val="00E4027D"/>
    <w:rsid w:val="00E404C9"/>
    <w:rsid w:val="00E409EC"/>
    <w:rsid w:val="00E429AE"/>
    <w:rsid w:val="00E45462"/>
    <w:rsid w:val="00E45D2F"/>
    <w:rsid w:val="00E53CCB"/>
    <w:rsid w:val="00E5599D"/>
    <w:rsid w:val="00E625C1"/>
    <w:rsid w:val="00E658A7"/>
    <w:rsid w:val="00E66036"/>
    <w:rsid w:val="00E6627E"/>
    <w:rsid w:val="00E71720"/>
    <w:rsid w:val="00E801A6"/>
    <w:rsid w:val="00E84FBA"/>
    <w:rsid w:val="00E93AC5"/>
    <w:rsid w:val="00E93F51"/>
    <w:rsid w:val="00E95D14"/>
    <w:rsid w:val="00EA2C00"/>
    <w:rsid w:val="00EA7FE3"/>
    <w:rsid w:val="00EB0CA7"/>
    <w:rsid w:val="00EB1FFC"/>
    <w:rsid w:val="00EB2356"/>
    <w:rsid w:val="00EB23B8"/>
    <w:rsid w:val="00EB3A4D"/>
    <w:rsid w:val="00EB4AEF"/>
    <w:rsid w:val="00EB659E"/>
    <w:rsid w:val="00EC5F1E"/>
    <w:rsid w:val="00ED1E02"/>
    <w:rsid w:val="00ED2839"/>
    <w:rsid w:val="00ED33A8"/>
    <w:rsid w:val="00ED3A0D"/>
    <w:rsid w:val="00ED6E85"/>
    <w:rsid w:val="00EE04FC"/>
    <w:rsid w:val="00EE60BF"/>
    <w:rsid w:val="00EF352F"/>
    <w:rsid w:val="00EF427F"/>
    <w:rsid w:val="00EF4973"/>
    <w:rsid w:val="00EF5744"/>
    <w:rsid w:val="00EF649B"/>
    <w:rsid w:val="00EF7082"/>
    <w:rsid w:val="00EF7D85"/>
    <w:rsid w:val="00F0650D"/>
    <w:rsid w:val="00F06FC8"/>
    <w:rsid w:val="00F07240"/>
    <w:rsid w:val="00F1295A"/>
    <w:rsid w:val="00F1621E"/>
    <w:rsid w:val="00F1737D"/>
    <w:rsid w:val="00F20979"/>
    <w:rsid w:val="00F2225F"/>
    <w:rsid w:val="00F247A0"/>
    <w:rsid w:val="00F24DF5"/>
    <w:rsid w:val="00F252F8"/>
    <w:rsid w:val="00F33068"/>
    <w:rsid w:val="00F40D9C"/>
    <w:rsid w:val="00F434BC"/>
    <w:rsid w:val="00F47647"/>
    <w:rsid w:val="00F5148D"/>
    <w:rsid w:val="00F51977"/>
    <w:rsid w:val="00F529B5"/>
    <w:rsid w:val="00F535CB"/>
    <w:rsid w:val="00F57B7B"/>
    <w:rsid w:val="00F60733"/>
    <w:rsid w:val="00F63D80"/>
    <w:rsid w:val="00F647A0"/>
    <w:rsid w:val="00F64944"/>
    <w:rsid w:val="00F65606"/>
    <w:rsid w:val="00F66C70"/>
    <w:rsid w:val="00F702EB"/>
    <w:rsid w:val="00F723D9"/>
    <w:rsid w:val="00F732E1"/>
    <w:rsid w:val="00F75B81"/>
    <w:rsid w:val="00F75E39"/>
    <w:rsid w:val="00F76712"/>
    <w:rsid w:val="00F9004B"/>
    <w:rsid w:val="00F90F7B"/>
    <w:rsid w:val="00F91F34"/>
    <w:rsid w:val="00F92F46"/>
    <w:rsid w:val="00F936B6"/>
    <w:rsid w:val="00FA4257"/>
    <w:rsid w:val="00FA4F38"/>
    <w:rsid w:val="00FA7DCB"/>
    <w:rsid w:val="00FB0B33"/>
    <w:rsid w:val="00FB5000"/>
    <w:rsid w:val="00FB60D3"/>
    <w:rsid w:val="00FC0D21"/>
    <w:rsid w:val="00FC0DF5"/>
    <w:rsid w:val="00FC1B63"/>
    <w:rsid w:val="00FD4AA4"/>
    <w:rsid w:val="00FD7B49"/>
    <w:rsid w:val="00FE00F9"/>
    <w:rsid w:val="00FE3FCA"/>
    <w:rsid w:val="00FE49E8"/>
    <w:rsid w:val="00FE5412"/>
    <w:rsid w:val="0244104A"/>
    <w:rsid w:val="02F319D1"/>
    <w:rsid w:val="09183FD8"/>
    <w:rsid w:val="0AED1E94"/>
    <w:rsid w:val="0FF47601"/>
    <w:rsid w:val="11FC2A93"/>
    <w:rsid w:val="1ADE1E41"/>
    <w:rsid w:val="1C31474A"/>
    <w:rsid w:val="1D6075A2"/>
    <w:rsid w:val="1F7E4C13"/>
    <w:rsid w:val="20B1764F"/>
    <w:rsid w:val="24BD7B04"/>
    <w:rsid w:val="25FB285A"/>
    <w:rsid w:val="2B472954"/>
    <w:rsid w:val="2F5F4611"/>
    <w:rsid w:val="32D87E83"/>
    <w:rsid w:val="348B5781"/>
    <w:rsid w:val="35771DBF"/>
    <w:rsid w:val="359D3C7F"/>
    <w:rsid w:val="36D3674A"/>
    <w:rsid w:val="372E18EF"/>
    <w:rsid w:val="387500C6"/>
    <w:rsid w:val="396C5641"/>
    <w:rsid w:val="3EB78F90"/>
    <w:rsid w:val="3EF32C99"/>
    <w:rsid w:val="401D79A6"/>
    <w:rsid w:val="403B1546"/>
    <w:rsid w:val="4199493D"/>
    <w:rsid w:val="430C6815"/>
    <w:rsid w:val="437F4FE8"/>
    <w:rsid w:val="453D0594"/>
    <w:rsid w:val="490D512B"/>
    <w:rsid w:val="49DE3B6B"/>
    <w:rsid w:val="4B010851"/>
    <w:rsid w:val="4C7B4980"/>
    <w:rsid w:val="50011E81"/>
    <w:rsid w:val="538C1942"/>
    <w:rsid w:val="58DD79DC"/>
    <w:rsid w:val="5A7E0143"/>
    <w:rsid w:val="5AF865A4"/>
    <w:rsid w:val="5B76BB47"/>
    <w:rsid w:val="5EFF59C4"/>
    <w:rsid w:val="61C76C69"/>
    <w:rsid w:val="61D32628"/>
    <w:rsid w:val="66941121"/>
    <w:rsid w:val="66D226BA"/>
    <w:rsid w:val="687E1603"/>
    <w:rsid w:val="68F2718B"/>
    <w:rsid w:val="69BD40BA"/>
    <w:rsid w:val="6B7E9F5F"/>
    <w:rsid w:val="6C413068"/>
    <w:rsid w:val="6D4B1CE7"/>
    <w:rsid w:val="6ED91CC2"/>
    <w:rsid w:val="6FFEE375"/>
    <w:rsid w:val="706C18DA"/>
    <w:rsid w:val="71357517"/>
    <w:rsid w:val="72DE10A0"/>
    <w:rsid w:val="74A00563"/>
    <w:rsid w:val="754763C8"/>
    <w:rsid w:val="76DC19C5"/>
    <w:rsid w:val="76F62FA3"/>
    <w:rsid w:val="7A84746C"/>
    <w:rsid w:val="7C2B603A"/>
    <w:rsid w:val="7CF505C9"/>
    <w:rsid w:val="7D2F7F9F"/>
    <w:rsid w:val="7DB728C4"/>
    <w:rsid w:val="7EBE6315"/>
    <w:rsid w:val="7EFFB23F"/>
    <w:rsid w:val="7FDFB00A"/>
    <w:rsid w:val="7FED7FBB"/>
    <w:rsid w:val="7FFB486E"/>
    <w:rsid w:val="9D7E6C53"/>
    <w:rsid w:val="9D7FFAD5"/>
    <w:rsid w:val="9DFE41F2"/>
    <w:rsid w:val="9F5D6960"/>
    <w:rsid w:val="9FFE17DD"/>
    <w:rsid w:val="AF7B8605"/>
    <w:rsid w:val="BBFF334C"/>
    <w:rsid w:val="BFFD0DB2"/>
    <w:rsid w:val="C1FBB05D"/>
    <w:rsid w:val="DBEF8AA6"/>
    <w:rsid w:val="DDF744E9"/>
    <w:rsid w:val="E7BB1AAA"/>
    <w:rsid w:val="EB7FD2D2"/>
    <w:rsid w:val="EBEF1E70"/>
    <w:rsid w:val="EDFBC2C9"/>
    <w:rsid w:val="EFFE1FC8"/>
    <w:rsid w:val="F1F58630"/>
    <w:rsid w:val="F3D54A73"/>
    <w:rsid w:val="F4F9F3E4"/>
    <w:rsid w:val="F67F359E"/>
    <w:rsid w:val="F6F79E63"/>
    <w:rsid w:val="FB88D157"/>
    <w:rsid w:val="FD77F83F"/>
    <w:rsid w:val="FDF57E30"/>
    <w:rsid w:val="FEFF2229"/>
    <w:rsid w:val="FFDD368E"/>
    <w:rsid w:val="FFFE623E"/>
    <w:rsid w:val="FFFF47EB"/>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qFormat="1"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qFormat="1" w:unhideWhenUsed="0" w:uiPriority="99"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qFormat="1" w:unhideWhenUsed="0"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after="200"/>
    </w:pPr>
    <w:rPr>
      <w:rFonts w:ascii="Tahoma" w:hAnsi="Tahoma" w:eastAsia="微软雅黑" w:cs="Times New Roman"/>
      <w:sz w:val="22"/>
      <w:szCs w:val="22"/>
      <w:lang w:val="en-US" w:eastAsia="zh-CN" w:bidi="ar-SA"/>
    </w:rPr>
  </w:style>
  <w:style w:type="paragraph" w:styleId="5">
    <w:name w:val="heading 1"/>
    <w:basedOn w:val="1"/>
    <w:next w:val="1"/>
    <w:qFormat/>
    <w:locked/>
    <w:uiPriority w:val="9"/>
    <w:pPr>
      <w:keepNext/>
      <w:keepLines/>
      <w:spacing w:line="360" w:lineRule="auto"/>
      <w:outlineLvl w:val="0"/>
    </w:pPr>
    <w:rPr>
      <w:b/>
      <w:bCs/>
      <w:kern w:val="44"/>
      <w:sz w:val="30"/>
      <w:szCs w:val="44"/>
    </w:rPr>
  </w:style>
  <w:style w:type="paragraph" w:styleId="6">
    <w:name w:val="heading 3"/>
    <w:basedOn w:val="1"/>
    <w:next w:val="1"/>
    <w:link w:val="29"/>
    <w:semiHidden/>
    <w:unhideWhenUsed/>
    <w:qFormat/>
    <w:locked/>
    <w:uiPriority w:val="0"/>
    <w:pPr>
      <w:keepNext/>
      <w:keepLines/>
      <w:spacing w:before="260" w:after="260" w:line="416" w:lineRule="auto"/>
      <w:outlineLvl w:val="2"/>
    </w:pPr>
    <w:rPr>
      <w:b/>
      <w:bCs/>
      <w:sz w:val="32"/>
      <w:szCs w:val="32"/>
    </w:rPr>
  </w:style>
  <w:style w:type="character" w:default="1" w:styleId="18">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link w:val="21"/>
    <w:qFormat/>
    <w:uiPriority w:val="99"/>
    <w:pPr>
      <w:spacing w:after="120"/>
    </w:pPr>
  </w:style>
  <w:style w:type="paragraph" w:customStyle="1" w:styleId="3">
    <w:name w:val="xl27"/>
    <w:basedOn w:val="1"/>
    <w:next w:val="4"/>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Arial Unicode MS"/>
      <w:color w:val="000000"/>
      <w:sz w:val="20"/>
      <w:szCs w:val="20"/>
    </w:rPr>
  </w:style>
  <w:style w:type="paragraph" w:customStyle="1" w:styleId="4">
    <w:name w:val="A正文"/>
    <w:qFormat/>
    <w:uiPriority w:val="99"/>
    <w:pPr>
      <w:spacing w:line="480" w:lineRule="exact"/>
      <w:ind w:firstLine="480"/>
    </w:pPr>
    <w:rPr>
      <w:rFonts w:ascii="宋体" w:hAnsi="宋体" w:eastAsia="宋体" w:cs="Times New Roman"/>
      <w:sz w:val="24"/>
      <w:szCs w:val="22"/>
      <w:lang w:val="en-US" w:eastAsia="zh-CN" w:bidi="ar-SA"/>
    </w:rPr>
  </w:style>
  <w:style w:type="paragraph" w:styleId="7">
    <w:name w:val="Document Map"/>
    <w:basedOn w:val="1"/>
    <w:link w:val="24"/>
    <w:semiHidden/>
    <w:qFormat/>
    <w:uiPriority w:val="99"/>
    <w:pPr>
      <w:shd w:val="clear" w:color="auto" w:fill="000080"/>
    </w:pPr>
  </w:style>
  <w:style w:type="paragraph" w:styleId="8">
    <w:name w:val="Body Text Indent"/>
    <w:basedOn w:val="1"/>
    <w:link w:val="27"/>
    <w:semiHidden/>
    <w:unhideWhenUsed/>
    <w:qFormat/>
    <w:uiPriority w:val="99"/>
    <w:pPr>
      <w:spacing w:after="120"/>
      <w:ind w:left="420" w:leftChars="200"/>
    </w:pPr>
  </w:style>
  <w:style w:type="paragraph" w:styleId="9">
    <w:name w:val="Balloon Text"/>
    <w:basedOn w:val="1"/>
    <w:link w:val="31"/>
    <w:semiHidden/>
    <w:unhideWhenUsed/>
    <w:qFormat/>
    <w:uiPriority w:val="99"/>
    <w:pPr>
      <w:spacing w:after="0"/>
    </w:pPr>
    <w:rPr>
      <w:sz w:val="18"/>
      <w:szCs w:val="18"/>
    </w:rPr>
  </w:style>
  <w:style w:type="paragraph" w:styleId="10">
    <w:name w:val="footer"/>
    <w:basedOn w:val="1"/>
    <w:link w:val="20"/>
    <w:qFormat/>
    <w:uiPriority w:val="99"/>
    <w:pPr>
      <w:tabs>
        <w:tab w:val="center" w:pos="4153"/>
        <w:tab w:val="right" w:pos="8306"/>
      </w:tabs>
    </w:pPr>
    <w:rPr>
      <w:sz w:val="18"/>
      <w:szCs w:val="18"/>
    </w:rPr>
  </w:style>
  <w:style w:type="paragraph" w:styleId="11">
    <w:name w:val="header"/>
    <w:basedOn w:val="1"/>
    <w:link w:val="19"/>
    <w:semiHidden/>
    <w:qFormat/>
    <w:uiPriority w:val="99"/>
    <w:pPr>
      <w:pBdr>
        <w:bottom w:val="single" w:color="auto" w:sz="6" w:space="1"/>
      </w:pBdr>
      <w:tabs>
        <w:tab w:val="center" w:pos="4153"/>
        <w:tab w:val="right" w:pos="8306"/>
      </w:tabs>
      <w:jc w:val="center"/>
    </w:pPr>
    <w:rPr>
      <w:sz w:val="18"/>
      <w:szCs w:val="18"/>
    </w:rPr>
  </w:style>
  <w:style w:type="paragraph" w:styleId="12">
    <w:name w:val="toc 2"/>
    <w:basedOn w:val="1"/>
    <w:next w:val="1"/>
    <w:unhideWhenUsed/>
    <w:qFormat/>
    <w:locked/>
    <w:uiPriority w:val="0"/>
    <w:pPr>
      <w:ind w:left="420" w:leftChars="200"/>
    </w:pPr>
  </w:style>
  <w:style w:type="paragraph" w:styleId="13">
    <w:name w:val="Normal (Web)"/>
    <w:basedOn w:val="1"/>
    <w:qFormat/>
    <w:uiPriority w:val="0"/>
    <w:pPr>
      <w:adjustRightInd/>
      <w:snapToGrid/>
      <w:spacing w:before="100" w:beforeAutospacing="1" w:after="100" w:afterAutospacing="1"/>
    </w:pPr>
    <w:rPr>
      <w:rFonts w:ascii="宋体" w:hAnsi="宋体" w:eastAsia="宋体"/>
      <w:sz w:val="24"/>
      <w:szCs w:val="24"/>
    </w:rPr>
  </w:style>
  <w:style w:type="paragraph" w:styleId="14">
    <w:name w:val="Title"/>
    <w:basedOn w:val="1"/>
    <w:next w:val="1"/>
    <w:link w:val="23"/>
    <w:qFormat/>
    <w:uiPriority w:val="99"/>
    <w:pPr>
      <w:spacing w:before="240" w:after="60"/>
      <w:jc w:val="center"/>
      <w:outlineLvl w:val="0"/>
    </w:pPr>
    <w:rPr>
      <w:rFonts w:ascii="Cambria" w:hAnsi="Cambria" w:eastAsia="宋体"/>
      <w:b/>
      <w:bCs/>
      <w:sz w:val="32"/>
      <w:szCs w:val="32"/>
    </w:rPr>
  </w:style>
  <w:style w:type="paragraph" w:styleId="15">
    <w:name w:val="Body Text First Indent"/>
    <w:basedOn w:val="2"/>
    <w:link w:val="22"/>
    <w:qFormat/>
    <w:uiPriority w:val="99"/>
    <w:pPr>
      <w:widowControl w:val="0"/>
      <w:adjustRightInd/>
      <w:snapToGrid/>
      <w:ind w:firstLine="420" w:firstLineChars="100"/>
      <w:jc w:val="both"/>
    </w:pPr>
    <w:rPr>
      <w:rFonts w:ascii="Times New Roman" w:hAnsi="Times New Roman" w:eastAsia="宋体"/>
      <w:kern w:val="2"/>
      <w:sz w:val="21"/>
      <w:szCs w:val="24"/>
    </w:rPr>
  </w:style>
  <w:style w:type="paragraph" w:styleId="16">
    <w:name w:val="Body Text First Indent 2"/>
    <w:basedOn w:val="8"/>
    <w:link w:val="28"/>
    <w:semiHidden/>
    <w:unhideWhenUsed/>
    <w:qFormat/>
    <w:uiPriority w:val="99"/>
    <w:pPr>
      <w:ind w:firstLine="420" w:firstLineChars="200"/>
    </w:pPr>
  </w:style>
  <w:style w:type="character" w:customStyle="1" w:styleId="19">
    <w:name w:val="页眉 字符"/>
    <w:basedOn w:val="18"/>
    <w:link w:val="11"/>
    <w:semiHidden/>
    <w:qFormat/>
    <w:locked/>
    <w:uiPriority w:val="99"/>
    <w:rPr>
      <w:rFonts w:ascii="Tahoma" w:hAnsi="Tahoma" w:cs="Times New Roman"/>
      <w:sz w:val="18"/>
      <w:szCs w:val="18"/>
    </w:rPr>
  </w:style>
  <w:style w:type="character" w:customStyle="1" w:styleId="20">
    <w:name w:val="页脚 字符"/>
    <w:basedOn w:val="18"/>
    <w:link w:val="10"/>
    <w:qFormat/>
    <w:locked/>
    <w:uiPriority w:val="99"/>
    <w:rPr>
      <w:rFonts w:ascii="Tahoma" w:hAnsi="Tahoma" w:cs="Times New Roman"/>
      <w:sz w:val="18"/>
      <w:szCs w:val="18"/>
    </w:rPr>
  </w:style>
  <w:style w:type="character" w:customStyle="1" w:styleId="21">
    <w:name w:val="正文文本 字符"/>
    <w:basedOn w:val="18"/>
    <w:link w:val="2"/>
    <w:qFormat/>
    <w:locked/>
    <w:uiPriority w:val="99"/>
    <w:rPr>
      <w:rFonts w:ascii="Tahoma" w:hAnsi="Tahoma" w:cs="Times New Roman"/>
    </w:rPr>
  </w:style>
  <w:style w:type="character" w:customStyle="1" w:styleId="22">
    <w:name w:val="正文文本首行缩进 字符"/>
    <w:basedOn w:val="21"/>
    <w:link w:val="15"/>
    <w:qFormat/>
    <w:locked/>
    <w:uiPriority w:val="99"/>
    <w:rPr>
      <w:rFonts w:ascii="Times New Roman" w:hAnsi="Times New Roman" w:eastAsia="宋体" w:cs="Times New Roman"/>
      <w:kern w:val="2"/>
      <w:sz w:val="24"/>
      <w:szCs w:val="24"/>
    </w:rPr>
  </w:style>
  <w:style w:type="character" w:customStyle="1" w:styleId="23">
    <w:name w:val="标题 字符"/>
    <w:basedOn w:val="18"/>
    <w:link w:val="14"/>
    <w:qFormat/>
    <w:locked/>
    <w:uiPriority w:val="99"/>
    <w:rPr>
      <w:rFonts w:ascii="Cambria" w:hAnsi="Cambria" w:eastAsia="宋体" w:cs="Times New Roman"/>
      <w:b/>
      <w:bCs/>
      <w:sz w:val="32"/>
      <w:szCs w:val="32"/>
    </w:rPr>
  </w:style>
  <w:style w:type="character" w:customStyle="1" w:styleId="24">
    <w:name w:val="文档结构图 字符"/>
    <w:basedOn w:val="18"/>
    <w:link w:val="7"/>
    <w:semiHidden/>
    <w:qFormat/>
    <w:locked/>
    <w:uiPriority w:val="99"/>
    <w:rPr>
      <w:rFonts w:ascii="Times New Roman" w:hAnsi="Times New Roman" w:cs="Times New Roman"/>
      <w:kern w:val="0"/>
      <w:sz w:val="2"/>
    </w:rPr>
  </w:style>
  <w:style w:type="paragraph" w:customStyle="1" w:styleId="25">
    <w:name w:val="reader-word-layer reader-word-s1-5"/>
    <w:basedOn w:val="1"/>
    <w:qFormat/>
    <w:uiPriority w:val="99"/>
    <w:pPr>
      <w:adjustRightInd/>
      <w:snapToGrid/>
      <w:spacing w:before="100" w:beforeAutospacing="1" w:after="100" w:afterAutospacing="1"/>
    </w:pPr>
    <w:rPr>
      <w:rFonts w:ascii="宋体" w:hAnsi="宋体" w:eastAsia="宋体" w:cs="宋体"/>
      <w:sz w:val="24"/>
      <w:szCs w:val="24"/>
    </w:rPr>
  </w:style>
  <w:style w:type="paragraph" w:customStyle="1" w:styleId="26">
    <w:name w:val="reader-word-layer reader-word-s1-8"/>
    <w:basedOn w:val="1"/>
    <w:qFormat/>
    <w:uiPriority w:val="99"/>
    <w:pPr>
      <w:adjustRightInd/>
      <w:snapToGrid/>
      <w:spacing w:before="100" w:beforeAutospacing="1" w:after="100" w:afterAutospacing="1"/>
    </w:pPr>
    <w:rPr>
      <w:rFonts w:ascii="宋体" w:hAnsi="宋体" w:eastAsia="宋体" w:cs="宋体"/>
      <w:sz w:val="24"/>
      <w:szCs w:val="24"/>
    </w:rPr>
  </w:style>
  <w:style w:type="character" w:customStyle="1" w:styleId="27">
    <w:name w:val="正文文本缩进 字符"/>
    <w:basedOn w:val="18"/>
    <w:link w:val="8"/>
    <w:semiHidden/>
    <w:qFormat/>
    <w:uiPriority w:val="99"/>
    <w:rPr>
      <w:rFonts w:ascii="Tahoma" w:hAnsi="Tahoma"/>
      <w:sz w:val="22"/>
      <w:szCs w:val="22"/>
    </w:rPr>
  </w:style>
  <w:style w:type="character" w:customStyle="1" w:styleId="28">
    <w:name w:val="正文文本首行缩进 2 字符"/>
    <w:basedOn w:val="27"/>
    <w:link w:val="16"/>
    <w:semiHidden/>
    <w:qFormat/>
    <w:uiPriority w:val="99"/>
    <w:rPr>
      <w:rFonts w:ascii="Tahoma" w:hAnsi="Tahoma"/>
      <w:sz w:val="22"/>
      <w:szCs w:val="22"/>
    </w:rPr>
  </w:style>
  <w:style w:type="character" w:customStyle="1" w:styleId="29">
    <w:name w:val="标题 3 字符"/>
    <w:basedOn w:val="18"/>
    <w:link w:val="6"/>
    <w:semiHidden/>
    <w:qFormat/>
    <w:uiPriority w:val="0"/>
    <w:rPr>
      <w:rFonts w:ascii="Tahoma" w:hAnsi="Tahoma"/>
      <w:b/>
      <w:bCs/>
      <w:sz w:val="32"/>
      <w:szCs w:val="32"/>
    </w:rPr>
  </w:style>
  <w:style w:type="paragraph" w:styleId="30">
    <w:name w:val="List Paragraph"/>
    <w:basedOn w:val="1"/>
    <w:unhideWhenUsed/>
    <w:qFormat/>
    <w:uiPriority w:val="99"/>
    <w:pPr>
      <w:ind w:firstLine="420" w:firstLineChars="200"/>
    </w:pPr>
  </w:style>
  <w:style w:type="character" w:customStyle="1" w:styleId="31">
    <w:name w:val="批注框文本 字符"/>
    <w:basedOn w:val="18"/>
    <w:link w:val="9"/>
    <w:semiHidden/>
    <w:qFormat/>
    <w:uiPriority w:val="99"/>
    <w:rPr>
      <w:rFonts w:ascii="Tahoma" w:hAnsi="Tahoma"/>
      <w:sz w:val="18"/>
      <w:szCs w:val="18"/>
    </w:rPr>
  </w:style>
  <w:style w:type="character" w:customStyle="1" w:styleId="32">
    <w:name w:val="fontstyle01"/>
    <w:qFormat/>
    <w:uiPriority w:val="0"/>
    <w:rPr>
      <w:rFonts w:hint="eastAsia" w:ascii="宋体" w:hAnsi="宋体" w:eastAsia="宋体"/>
      <w:color w:val="000000"/>
      <w:sz w:val="24"/>
      <w:szCs w:val="24"/>
    </w:rPr>
  </w:style>
  <w:style w:type="paragraph" w:customStyle="1" w:styleId="33">
    <w:name w:val="修订1"/>
    <w:hidden/>
    <w:semiHidden/>
    <w:qFormat/>
    <w:uiPriority w:val="99"/>
    <w:rPr>
      <w:rFonts w:ascii="Tahoma" w:hAnsi="Tahoma" w:eastAsia="微软雅黑" w:cs="Times New Roman"/>
      <w:sz w:val="22"/>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8</Pages>
  <Words>3226</Words>
  <Characters>3438</Characters>
  <Lines>14</Lines>
  <Paragraphs>4</Paragraphs>
  <TotalTime>176</TotalTime>
  <ScaleCrop>false</ScaleCrop>
  <LinksUpToDate>false</LinksUpToDate>
  <CharactersWithSpaces>3438</CharactersWithSpaces>
  <Application>WPS Office_11.1.0.11757_F1E327BC-269C-435d-A152-05C5408002CA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2024-03-17T19:24:00Z</dcterms:created>
  <dc:creator>Administrator</dc:creator>
  <cp:lastModifiedBy>昊不昊啊？</cp:lastModifiedBy>
  <cp:lastPrinted>2025-05-27T19:29:00Z</cp:lastPrinted>
  <dcterms:modified xsi:type="dcterms:W3CDTF">2026-08-28T08:19:55Z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2052-11.1.0.11757</vt:lpwstr>
  </property>
  <property fmtid="{D5CDD505-2E9C-101B-9397-08002B2CF9AE}" pid="3" name="ICV">
    <vt:lpwstr>26E2CCBCED1140FC9180E2AB9101AAB5</vt:lpwstr>
  </property>
  <property fmtid="{D5CDD505-2E9C-101B-9397-08002B2CF9AE}" pid="4" name="KSOTemplateDocerSaveRecord">
    <vt:lpwstr>eyJoZGlkIjoiNzM4ZGNhMmQzY2JkY2ZlMzdhOTZiOGFhNTE0ZjEwN2QiLCJ1c2VySWQiOiIxMjA2MzI0MDg0In0=</vt:lpwstr>
  </property>
</Properties>
</file>