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160" w:after="0" w:line="560" w:lineRule="exact"/>
        <w:jc w:val="right"/>
        <w:rPr>
          <w:rFonts w:ascii="仿宋_GB2312" w:eastAsia="仿宋_GB2312"/>
          <w:color w:val="auto"/>
        </w:rPr>
      </w:pPr>
      <w:r>
        <w:rPr>
          <w:rFonts w:hint="eastAsia" w:ascii="仿宋_GB2312" w:hAnsi="仿宋" w:eastAsia="仿宋_GB2312"/>
          <w:color w:val="auto"/>
          <w:sz w:val="32"/>
          <w:szCs w:val="32"/>
        </w:rPr>
        <w:t>常环建〔202</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w:t>
      </w:r>
      <w:r>
        <w:rPr>
          <w:rFonts w:hint="eastAsia" w:ascii="仿宋_GB2312" w:hAnsi="仿宋" w:eastAsia="仿宋_GB2312"/>
          <w:color w:val="auto"/>
          <w:sz w:val="32"/>
          <w:szCs w:val="32"/>
          <w:lang w:val="en-US" w:eastAsia="zh-CN"/>
        </w:rPr>
        <w:t>38</w:t>
      </w:r>
      <w:r>
        <w:rPr>
          <w:rFonts w:hint="eastAsia" w:ascii="仿宋_GB2312" w:hAnsi="仿宋" w:eastAsia="仿宋_GB2312"/>
          <w:color w:val="auto"/>
          <w:sz w:val="32"/>
          <w:szCs w:val="32"/>
        </w:rPr>
        <w:t>号</w:t>
      </w:r>
    </w:p>
    <w:p>
      <w:pPr>
        <w:tabs>
          <w:tab w:val="left" w:pos="1021"/>
        </w:tabs>
        <w:spacing w:after="0" w:line="560" w:lineRule="exact"/>
        <w:jc w:val="center"/>
        <w:rPr>
          <w:rFonts w:hint="eastAsia" w:ascii="方正小标宋简体" w:eastAsia="方正小标宋简体" w:hAnsiTheme="majorEastAsia"/>
          <w:color w:val="auto"/>
          <w:sz w:val="44"/>
          <w:szCs w:val="44"/>
        </w:rPr>
      </w:pPr>
    </w:p>
    <w:p>
      <w:pPr>
        <w:tabs>
          <w:tab w:val="left" w:pos="1021"/>
        </w:tabs>
        <w:spacing w:after="0" w:line="560" w:lineRule="exact"/>
        <w:jc w:val="center"/>
        <w:rPr>
          <w:rFonts w:hint="eastAsia" w:ascii="方正小标宋简体" w:eastAsia="方正小标宋简体" w:hAnsiTheme="majorEastAsia"/>
          <w:color w:val="auto"/>
          <w:sz w:val="44"/>
          <w:szCs w:val="44"/>
        </w:rPr>
      </w:pPr>
      <w:bookmarkStart w:id="0" w:name="_GoBack"/>
      <w:r>
        <w:rPr>
          <w:rFonts w:hint="eastAsia" w:ascii="方正小标宋简体" w:eastAsia="方正小标宋简体" w:hAnsiTheme="majorEastAsia"/>
          <w:color w:val="auto"/>
          <w:sz w:val="44"/>
          <w:szCs w:val="44"/>
        </w:rPr>
        <w:t>常德市生态环境局</w:t>
      </w:r>
    </w:p>
    <w:p>
      <w:pPr>
        <w:tabs>
          <w:tab w:val="left" w:pos="1021"/>
        </w:tabs>
        <w:spacing w:after="0" w:line="560" w:lineRule="exact"/>
        <w:jc w:val="center"/>
        <w:rPr>
          <w:rFonts w:hint="eastAsia" w:ascii="方正小标宋简体" w:eastAsia="方正小标宋简体" w:hAnsiTheme="majorEastAsia"/>
          <w:color w:val="auto"/>
          <w:sz w:val="44"/>
          <w:szCs w:val="44"/>
        </w:rPr>
      </w:pPr>
      <w:r>
        <w:rPr>
          <w:rFonts w:hint="eastAsia" w:ascii="方正小标宋简体" w:eastAsia="方正小标宋简体" w:hAnsiTheme="majorEastAsia"/>
          <w:color w:val="auto"/>
          <w:sz w:val="44"/>
          <w:szCs w:val="44"/>
        </w:rPr>
        <w:t>关于</w:t>
      </w:r>
      <w:r>
        <w:rPr>
          <w:rFonts w:hint="eastAsia" w:ascii="方正小标宋简体" w:eastAsia="方正小标宋简体" w:hAnsiTheme="majorEastAsia"/>
          <w:color w:val="auto"/>
          <w:sz w:val="44"/>
          <w:szCs w:val="44"/>
          <w:lang w:eastAsia="zh-CN"/>
        </w:rPr>
        <w:t>汉寿县聚鑫家禽养殖专业合作社蛋鸡养殖扩建项目</w:t>
      </w:r>
      <w:r>
        <w:rPr>
          <w:rFonts w:hint="eastAsia" w:ascii="方正小标宋简体" w:eastAsia="方正小标宋简体" w:hAnsiTheme="majorEastAsia"/>
          <w:color w:val="auto"/>
          <w:sz w:val="44"/>
          <w:szCs w:val="44"/>
        </w:rPr>
        <w:t>环境影响报告</w:t>
      </w:r>
      <w:r>
        <w:rPr>
          <w:rFonts w:hint="eastAsia" w:ascii="方正小标宋简体" w:eastAsia="方正小标宋简体" w:hAnsiTheme="majorEastAsia"/>
          <w:color w:val="auto"/>
          <w:sz w:val="44"/>
          <w:szCs w:val="44"/>
          <w:lang w:eastAsia="zh-CN"/>
        </w:rPr>
        <w:t>书</w:t>
      </w:r>
      <w:r>
        <w:rPr>
          <w:rFonts w:hint="eastAsia" w:ascii="方正小标宋简体" w:eastAsia="方正小标宋简体" w:hAnsiTheme="majorEastAsia"/>
          <w:color w:val="auto"/>
          <w:sz w:val="44"/>
          <w:szCs w:val="44"/>
        </w:rPr>
        <w:t>的批复</w:t>
      </w:r>
    </w:p>
    <w:bookmarkEnd w:id="0"/>
    <w:p>
      <w:pPr>
        <w:spacing w:after="0" w:line="560" w:lineRule="exact"/>
        <w:jc w:val="both"/>
        <w:rPr>
          <w:rFonts w:hint="eastAsia" w:ascii="仿宋" w:hAnsi="仿宋" w:eastAsia="仿宋"/>
          <w:color w:val="auto"/>
          <w:kern w:val="2"/>
          <w:sz w:val="32"/>
          <w:szCs w:val="32"/>
        </w:rPr>
      </w:pPr>
    </w:p>
    <w:p>
      <w:pPr>
        <w:widowControl w:val="0"/>
        <w:spacing w:after="0" w:line="560" w:lineRule="exact"/>
        <w:jc w:val="both"/>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汉寿县聚鑫家禽养殖专业合作社</w:t>
      </w:r>
      <w:r>
        <w:rPr>
          <w:rFonts w:hint="eastAsia" w:ascii="仿宋_GB2312" w:hAnsi="仿宋" w:eastAsia="仿宋_GB2312"/>
          <w:color w:val="auto"/>
          <w:sz w:val="32"/>
          <w:szCs w:val="32"/>
        </w:rPr>
        <w:t>：</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你</w:t>
      </w:r>
      <w:r>
        <w:rPr>
          <w:rFonts w:hint="eastAsia" w:ascii="仿宋_GB2312" w:hAnsi="仿宋" w:eastAsia="仿宋_GB2312"/>
          <w:color w:val="auto"/>
          <w:kern w:val="2"/>
          <w:sz w:val="32"/>
          <w:szCs w:val="32"/>
          <w:lang w:eastAsia="zh-CN"/>
        </w:rPr>
        <w:t>单位</w:t>
      </w:r>
      <w:r>
        <w:rPr>
          <w:rFonts w:hint="eastAsia" w:ascii="仿宋_GB2312" w:hAnsi="仿宋" w:eastAsia="仿宋_GB2312"/>
          <w:color w:val="auto"/>
          <w:kern w:val="2"/>
          <w:sz w:val="32"/>
          <w:szCs w:val="32"/>
        </w:rPr>
        <w:t>提交的《</w:t>
      </w:r>
      <w:r>
        <w:rPr>
          <w:rFonts w:hint="eastAsia" w:ascii="仿宋_GB2312" w:hAnsi="仿宋" w:eastAsia="仿宋_GB2312"/>
          <w:color w:val="auto"/>
          <w:kern w:val="2"/>
          <w:sz w:val="32"/>
          <w:szCs w:val="32"/>
          <w:lang w:eastAsia="zh-CN"/>
        </w:rPr>
        <w:t>汉寿县聚鑫家禽养殖专业合作社蛋鸡养殖扩建项目</w:t>
      </w:r>
      <w:r>
        <w:rPr>
          <w:rFonts w:hint="eastAsia" w:ascii="仿宋_GB2312" w:hAnsi="仿宋" w:eastAsia="仿宋_GB2312"/>
          <w:color w:val="auto"/>
          <w:kern w:val="2"/>
          <w:sz w:val="32"/>
          <w:szCs w:val="32"/>
        </w:rPr>
        <w:t>环境影响报告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》（以下简称“报告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、《汉寿县聚鑫家禽养殖专业合作社蛋鸡养殖扩建项目环境影响评价公众参与说明》</w:t>
      </w:r>
      <w:r>
        <w:rPr>
          <w:rFonts w:hint="eastAsia" w:ascii="仿宋_GB2312" w:hAnsi="仿宋" w:eastAsia="仿宋_GB2312"/>
          <w:color w:val="auto"/>
          <w:kern w:val="2"/>
          <w:sz w:val="32"/>
          <w:szCs w:val="32"/>
        </w:rPr>
        <w:t>和《关于申请对〈</w:t>
      </w:r>
      <w:r>
        <w:rPr>
          <w:rFonts w:hint="eastAsia" w:ascii="仿宋_GB2312" w:hAnsi="仿宋" w:eastAsia="仿宋_GB2312"/>
          <w:color w:val="auto"/>
          <w:kern w:val="2"/>
          <w:sz w:val="32"/>
          <w:szCs w:val="32"/>
          <w:lang w:eastAsia="zh-CN"/>
        </w:rPr>
        <w:t>汉寿县聚鑫家禽养殖专业合作社蛋鸡养殖扩建项目</w:t>
      </w:r>
      <w:r>
        <w:rPr>
          <w:rFonts w:hint="eastAsia" w:ascii="仿宋_GB2312" w:hAnsi="仿宋" w:eastAsia="仿宋_GB2312"/>
          <w:color w:val="auto"/>
          <w:kern w:val="2"/>
          <w:sz w:val="32"/>
          <w:szCs w:val="32"/>
        </w:rPr>
        <w:t>环境影响报告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〉进行审批的请示》及相关资料收悉，根据《报告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》专家审查意见、</w:t>
      </w:r>
      <w:r>
        <w:rPr>
          <w:rFonts w:hint="eastAsia" w:ascii="仿宋_GB2312" w:hAnsi="仿宋" w:eastAsia="仿宋_GB2312"/>
          <w:color w:val="auto"/>
          <w:kern w:val="2"/>
          <w:sz w:val="32"/>
          <w:szCs w:val="32"/>
          <w:lang w:eastAsia="zh-CN"/>
        </w:rPr>
        <w:t>常德市生态环境事务中心出具的技术评估报告、常德市生态环境局汉寿分局对《报告书》的预审意见</w:t>
      </w:r>
      <w:r>
        <w:rPr>
          <w:rFonts w:hint="eastAsia" w:ascii="仿宋_GB2312" w:hAnsi="仿宋" w:eastAsia="仿宋_GB2312"/>
          <w:color w:val="auto"/>
          <w:kern w:val="2"/>
          <w:sz w:val="32"/>
          <w:szCs w:val="32"/>
        </w:rPr>
        <w:t>及《报告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》网上公示期间未收到反馈意见的情况。经研究，批复如下：</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一、基本情况及总体意见</w:t>
      </w:r>
    </w:p>
    <w:p>
      <w:pPr>
        <w:widowControl w:val="0"/>
        <w:spacing w:after="0" w:line="560" w:lineRule="exact"/>
        <w:ind w:firstLine="640" w:firstLineChars="200"/>
        <w:jc w:val="both"/>
        <w:rPr>
          <w:rFonts w:hint="eastAsia"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val="en-US" w:eastAsia="zh-CN"/>
        </w:rPr>
        <w:t>汉寿县聚鑫家禽养殖专业合作社位于湖南省常德市汉寿县龙潭桥镇俞佳桥村百家嘴组(东经：112度06分45.937秒，北纬：28度48分5.132秒)，2014年成立，2016年10月31日完成了聚鑫养殖专业合作社13.8万羽养殖建设项目环境影响登记表备案。</w:t>
      </w:r>
    </w:p>
    <w:p>
      <w:pPr>
        <w:widowControl w:val="0"/>
        <w:spacing w:after="0" w:line="560" w:lineRule="exact"/>
        <w:ind w:firstLine="640" w:firstLineChars="200"/>
        <w:jc w:val="both"/>
        <w:rPr>
          <w:rFonts w:hint="eastAsia" w:ascii="仿宋_GB2312" w:hAnsi="仿宋" w:eastAsia="仿宋_GB2312"/>
          <w:color w:val="FF0000"/>
          <w:kern w:val="2"/>
          <w:sz w:val="32"/>
          <w:szCs w:val="32"/>
          <w:lang w:eastAsia="zh-CN"/>
        </w:rPr>
      </w:pPr>
      <w:r>
        <w:rPr>
          <w:rFonts w:hint="eastAsia" w:ascii="仿宋_GB2312" w:hAnsi="仿宋" w:eastAsia="仿宋_GB2312"/>
          <w:color w:val="auto"/>
          <w:kern w:val="2"/>
          <w:sz w:val="32"/>
          <w:szCs w:val="32"/>
          <w:lang w:val="en-US" w:eastAsia="zh-CN"/>
        </w:rPr>
        <w:t>本次扩建项目不新增用地，收购常德旭晟牧业有限公司3栋蛋鸡舍，新建1栋鸡舍，辅助、公用工程依托现有工程，同时配套完善其他配套设施及环保工程。本次扩建项目实施后养殖规模达到年蛋鸡存栏量30万羽，项目不涉及饲料加工和屠宰。</w:t>
      </w:r>
      <w:r>
        <w:rPr>
          <w:rFonts w:hint="eastAsia" w:ascii="仿宋_GB2312" w:hAnsi="仿宋" w:eastAsia="仿宋_GB2312"/>
          <w:color w:val="auto"/>
          <w:kern w:val="2"/>
          <w:sz w:val="32"/>
          <w:szCs w:val="32"/>
        </w:rPr>
        <w:t>项目</w:t>
      </w:r>
      <w:r>
        <w:rPr>
          <w:rFonts w:hint="eastAsia" w:ascii="仿宋_GB2312" w:hAnsi="仿宋" w:eastAsia="仿宋_GB2312"/>
          <w:color w:val="auto"/>
          <w:kern w:val="2"/>
          <w:sz w:val="32"/>
          <w:szCs w:val="32"/>
          <w:lang w:eastAsia="zh-CN"/>
        </w:rPr>
        <w:t>用地系租赁，总用地面积</w:t>
      </w:r>
      <w:r>
        <w:rPr>
          <w:rFonts w:hint="eastAsia" w:ascii="仿宋_GB2312" w:hAnsi="仿宋" w:eastAsia="仿宋_GB2312"/>
          <w:color w:val="auto"/>
          <w:kern w:val="2"/>
          <w:sz w:val="32"/>
          <w:szCs w:val="32"/>
          <w:lang w:val="en-US" w:eastAsia="zh-CN"/>
        </w:rPr>
        <w:t>48000平方米（折合72亩），项目</w:t>
      </w:r>
      <w:r>
        <w:rPr>
          <w:rFonts w:hint="eastAsia" w:ascii="仿宋_GB2312" w:hAnsi="仿宋" w:eastAsia="仿宋_GB2312"/>
          <w:color w:val="auto"/>
          <w:kern w:val="2"/>
          <w:sz w:val="32"/>
          <w:szCs w:val="32"/>
        </w:rPr>
        <w:t>总投资</w:t>
      </w:r>
      <w:r>
        <w:rPr>
          <w:rFonts w:hint="eastAsia" w:ascii="仿宋_GB2312" w:hAnsi="仿宋" w:eastAsia="仿宋_GB2312"/>
          <w:color w:val="auto"/>
          <w:kern w:val="2"/>
          <w:sz w:val="32"/>
          <w:szCs w:val="32"/>
          <w:lang w:val="en-US" w:eastAsia="zh-CN"/>
        </w:rPr>
        <w:t>20</w:t>
      </w:r>
      <w:r>
        <w:rPr>
          <w:rFonts w:hint="eastAsia" w:ascii="仿宋_GB2312" w:hAnsi="仿宋" w:eastAsia="仿宋_GB2312"/>
          <w:color w:val="auto"/>
          <w:kern w:val="2"/>
          <w:sz w:val="32"/>
          <w:szCs w:val="32"/>
        </w:rPr>
        <w:t>0</w:t>
      </w:r>
      <w:r>
        <w:rPr>
          <w:rFonts w:hint="eastAsia" w:ascii="仿宋_GB2312" w:hAnsi="仿宋" w:eastAsia="仿宋_GB2312"/>
          <w:color w:val="auto"/>
          <w:kern w:val="2"/>
          <w:sz w:val="32"/>
          <w:szCs w:val="32"/>
          <w:lang w:val="en-US" w:eastAsia="zh-CN"/>
        </w:rPr>
        <w:t>0</w:t>
      </w:r>
      <w:r>
        <w:rPr>
          <w:rFonts w:hint="eastAsia" w:ascii="仿宋_GB2312" w:hAnsi="仿宋" w:eastAsia="仿宋_GB2312"/>
          <w:color w:val="auto"/>
          <w:kern w:val="2"/>
          <w:sz w:val="32"/>
          <w:szCs w:val="32"/>
        </w:rPr>
        <w:t>万元，其中环保投资</w:t>
      </w:r>
      <w:r>
        <w:rPr>
          <w:rFonts w:hint="eastAsia" w:ascii="仿宋_GB2312" w:hAnsi="仿宋" w:eastAsia="仿宋_GB2312"/>
          <w:color w:val="auto"/>
          <w:kern w:val="2"/>
          <w:sz w:val="32"/>
          <w:szCs w:val="32"/>
          <w:lang w:val="en-US" w:eastAsia="zh-CN"/>
        </w:rPr>
        <w:t>94</w:t>
      </w:r>
      <w:r>
        <w:rPr>
          <w:rFonts w:hint="eastAsia" w:ascii="仿宋_GB2312" w:hAnsi="仿宋" w:eastAsia="仿宋_GB2312"/>
          <w:color w:val="auto"/>
          <w:kern w:val="2"/>
          <w:sz w:val="32"/>
          <w:szCs w:val="32"/>
        </w:rPr>
        <w:t>万元，占总投资的</w:t>
      </w:r>
      <w:r>
        <w:rPr>
          <w:rFonts w:hint="eastAsia" w:ascii="仿宋_GB2312" w:hAnsi="仿宋" w:eastAsia="仿宋_GB2312"/>
          <w:color w:val="auto"/>
          <w:kern w:val="2"/>
          <w:sz w:val="32"/>
          <w:szCs w:val="32"/>
          <w:lang w:val="en-US" w:eastAsia="zh-CN"/>
        </w:rPr>
        <w:t>4.7</w:t>
      </w: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w:t>
      </w:r>
    </w:p>
    <w:p>
      <w:pPr>
        <w:widowControl w:val="0"/>
        <w:spacing w:after="0" w:line="560" w:lineRule="exact"/>
        <w:ind w:firstLine="640" w:firstLineChars="200"/>
        <w:jc w:val="both"/>
        <w:rPr>
          <w:rFonts w:hint="eastAsia"/>
        </w:rPr>
      </w:pPr>
      <w:r>
        <w:rPr>
          <w:rFonts w:hint="eastAsia" w:ascii="仿宋_GB2312" w:hAnsi="仿宋" w:eastAsia="仿宋_GB2312"/>
          <w:color w:val="auto"/>
          <w:kern w:val="2"/>
          <w:sz w:val="32"/>
          <w:szCs w:val="32"/>
        </w:rPr>
        <w:t>根据《报告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》结论、</w:t>
      </w:r>
      <w:r>
        <w:rPr>
          <w:rFonts w:hint="eastAsia" w:ascii="仿宋_GB2312" w:hAnsi="仿宋" w:eastAsia="仿宋_GB2312"/>
          <w:color w:val="auto"/>
          <w:kern w:val="2"/>
          <w:sz w:val="32"/>
          <w:szCs w:val="32"/>
          <w:lang w:eastAsia="zh-CN"/>
        </w:rPr>
        <w:t>技术评估报告、</w:t>
      </w:r>
      <w:r>
        <w:rPr>
          <w:rFonts w:hint="eastAsia" w:ascii="仿宋_GB2312" w:hAnsi="仿宋" w:eastAsia="仿宋_GB2312"/>
          <w:color w:val="auto"/>
          <w:kern w:val="2"/>
          <w:sz w:val="32"/>
          <w:szCs w:val="32"/>
        </w:rPr>
        <w:t>专家审查意见</w:t>
      </w:r>
      <w:r>
        <w:rPr>
          <w:rFonts w:hint="eastAsia" w:ascii="仿宋_GB2312" w:hAnsi="仿宋" w:eastAsia="仿宋_GB2312"/>
          <w:color w:val="auto"/>
          <w:kern w:val="2"/>
          <w:sz w:val="32"/>
          <w:szCs w:val="32"/>
          <w:lang w:eastAsia="zh-CN"/>
        </w:rPr>
        <w:t>及常德市生态环境局汉寿分局的预审意见</w:t>
      </w: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同时根据常德市农业农村局、汉寿县农业农村局、汉寿县自然资源局、汉寿县龙潭桥自然资源所等部门和汉寿县龙潭桥镇俞佳桥村村民委员会意见，</w:t>
      </w:r>
      <w:r>
        <w:rPr>
          <w:rFonts w:hint="eastAsia" w:ascii="仿宋_GB2312" w:hAnsi="仿宋" w:eastAsia="仿宋_GB2312"/>
          <w:color w:val="auto"/>
          <w:kern w:val="2"/>
          <w:sz w:val="32"/>
          <w:szCs w:val="32"/>
        </w:rPr>
        <w:t>项目符合国家产业政策</w:t>
      </w:r>
      <w:r>
        <w:rPr>
          <w:rFonts w:hint="eastAsia" w:ascii="仿宋_GB2312" w:hAnsi="仿宋" w:eastAsia="仿宋_GB2312"/>
          <w:color w:val="auto"/>
          <w:kern w:val="2"/>
          <w:sz w:val="32"/>
          <w:szCs w:val="32"/>
          <w:lang w:eastAsia="zh-CN"/>
        </w:rPr>
        <w:t>和相关规划要求</w:t>
      </w:r>
      <w:r>
        <w:rPr>
          <w:rFonts w:hint="eastAsia" w:ascii="仿宋_GB2312" w:hAnsi="仿宋" w:eastAsia="仿宋_GB2312"/>
          <w:color w:val="auto"/>
          <w:kern w:val="2"/>
          <w:sz w:val="32"/>
          <w:szCs w:val="32"/>
        </w:rPr>
        <w:t>，符合《</w:t>
      </w:r>
      <w:r>
        <w:rPr>
          <w:rFonts w:hint="eastAsia" w:ascii="仿宋_GB2312" w:hAnsi="仿宋" w:eastAsia="仿宋_GB2312"/>
          <w:color w:val="auto"/>
          <w:kern w:val="2"/>
          <w:sz w:val="32"/>
          <w:szCs w:val="32"/>
          <w:lang w:eastAsia="zh-CN"/>
        </w:rPr>
        <w:t>常德市其他环境管控单元（省级及以上产业园区除外）</w:t>
      </w:r>
      <w:r>
        <w:rPr>
          <w:rFonts w:hint="eastAsia" w:ascii="仿宋_GB2312" w:hAnsi="仿宋" w:eastAsia="仿宋_GB2312"/>
          <w:color w:val="auto"/>
          <w:kern w:val="2"/>
          <w:sz w:val="32"/>
          <w:szCs w:val="32"/>
        </w:rPr>
        <w:t>生态环境准入清单</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lang w:val="en-US" w:eastAsia="zh-CN"/>
        </w:rPr>
        <w:t>2023年版</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rPr>
        <w:t>》中明确的</w:t>
      </w:r>
      <w:r>
        <w:rPr>
          <w:rFonts w:hint="eastAsia" w:ascii="仿宋_GB2312" w:hAnsi="仿宋" w:eastAsia="仿宋_GB2312"/>
          <w:color w:val="auto"/>
          <w:kern w:val="2"/>
          <w:sz w:val="32"/>
          <w:szCs w:val="32"/>
          <w:lang w:eastAsia="zh-CN"/>
        </w:rPr>
        <w:t>管控</w:t>
      </w:r>
      <w:r>
        <w:rPr>
          <w:rFonts w:hint="eastAsia" w:ascii="仿宋_GB2312" w:hAnsi="仿宋" w:eastAsia="仿宋_GB2312"/>
          <w:color w:val="auto"/>
          <w:kern w:val="2"/>
          <w:sz w:val="32"/>
          <w:szCs w:val="32"/>
        </w:rPr>
        <w:t>要求</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rPr>
        <w:t>鉴此，该项目在全面落实各项污染防治措施、环境风险防范措施、确保污染物达标排放以及配套土地承载力满足前提下，我局同意你公司按《报告书》要求实施该项目。</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二、项目在</w:t>
      </w:r>
      <w:r>
        <w:rPr>
          <w:rFonts w:hint="eastAsia" w:ascii="仿宋_GB2312" w:hAnsi="仿宋" w:eastAsia="仿宋_GB2312"/>
          <w:color w:val="auto"/>
          <w:kern w:val="2"/>
          <w:sz w:val="32"/>
          <w:szCs w:val="32"/>
          <w:lang w:eastAsia="zh-CN"/>
        </w:rPr>
        <w:t>设计、</w:t>
      </w:r>
      <w:r>
        <w:rPr>
          <w:rFonts w:hint="eastAsia" w:ascii="仿宋_GB2312" w:hAnsi="仿宋" w:eastAsia="仿宋_GB2312"/>
          <w:color w:val="auto"/>
          <w:kern w:val="2"/>
          <w:sz w:val="32"/>
          <w:szCs w:val="32"/>
        </w:rPr>
        <w:t>建设和营运过程中，须严格落实《报告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》提出的各项污染防治措施，着重做好以下工作：</w:t>
      </w:r>
    </w:p>
    <w:p>
      <w:pPr>
        <w:widowControl w:val="0"/>
        <w:spacing w:after="0" w:line="560" w:lineRule="exact"/>
        <w:ind w:firstLine="640" w:firstLineChars="200"/>
        <w:jc w:val="both"/>
        <w:rPr>
          <w:rFonts w:hint="eastAsia"/>
        </w:rPr>
      </w:pP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lang w:val="en-US" w:eastAsia="zh-CN"/>
        </w:rPr>
        <w:t>一）加强施工期的环境管理。严格落实施工期各项污染防治措施，减小施工期间施工噪声、废水、废气和固体废物等对周边环境造成的不利影响。加强施工期的水土保持工作，减小施工期水土流失。</w:t>
      </w:r>
    </w:p>
    <w:p>
      <w:pPr>
        <w:widowControl w:val="0"/>
        <w:spacing w:after="0" w:line="560" w:lineRule="exact"/>
        <w:ind w:firstLine="640" w:firstLineChars="200"/>
        <w:jc w:val="both"/>
        <w:rPr>
          <w:rFonts w:hint="default" w:ascii="仿宋_GB2312" w:hAnsi="仿宋" w:eastAsia="仿宋_GB2312"/>
          <w:color w:val="auto"/>
          <w:kern w:val="2"/>
          <w:sz w:val="32"/>
          <w:szCs w:val="32"/>
          <w:lang w:val="en-US" w:eastAsia="zh-CN"/>
        </w:rPr>
      </w:pPr>
      <w:r>
        <w:rPr>
          <w:rFonts w:hint="eastAsia" w:ascii="仿宋_GB2312" w:hAnsi="仿宋" w:eastAsia="仿宋_GB2312"/>
          <w:color w:val="000000" w:themeColor="text1"/>
          <w:kern w:val="2"/>
          <w:sz w:val="32"/>
          <w:szCs w:val="32"/>
          <w14:textFill>
            <w14:solidFill>
              <w14:schemeClr w14:val="tx1"/>
            </w14:solidFill>
          </w14:textFill>
        </w:rPr>
        <w:t>（</w:t>
      </w:r>
      <w:r>
        <w:rPr>
          <w:rFonts w:hint="eastAsia" w:ascii="仿宋_GB2312" w:hAnsi="仿宋" w:eastAsia="仿宋_GB2312"/>
          <w:color w:val="000000" w:themeColor="text1"/>
          <w:kern w:val="2"/>
          <w:sz w:val="32"/>
          <w:szCs w:val="32"/>
          <w:lang w:eastAsia="zh-CN"/>
          <w14:textFill>
            <w14:solidFill>
              <w14:schemeClr w14:val="tx1"/>
            </w14:solidFill>
          </w14:textFill>
        </w:rPr>
        <w:t>二</w:t>
      </w:r>
      <w:r>
        <w:rPr>
          <w:rFonts w:hint="eastAsia" w:ascii="仿宋_GB2312" w:hAnsi="仿宋" w:eastAsia="仿宋_GB2312"/>
          <w:color w:val="000000" w:themeColor="text1"/>
          <w:kern w:val="2"/>
          <w:sz w:val="32"/>
          <w:szCs w:val="32"/>
          <w14:textFill>
            <w14:solidFill>
              <w14:schemeClr w14:val="tx1"/>
            </w14:solidFill>
          </w14:textFill>
        </w:rPr>
        <w:t>）严格落实水污染防治措施</w:t>
      </w:r>
      <w:r>
        <w:rPr>
          <w:rFonts w:hint="eastAsia" w:ascii="仿宋_GB2312" w:hAnsi="仿宋" w:eastAsia="仿宋_GB2312"/>
          <w:color w:val="000000" w:themeColor="text1"/>
          <w:kern w:val="2"/>
          <w:sz w:val="32"/>
          <w:szCs w:val="32"/>
          <w:lang w:eastAsia="zh-CN"/>
          <w14:textFill>
            <w14:solidFill>
              <w14:schemeClr w14:val="tx1"/>
            </w14:solidFill>
          </w14:textFill>
        </w:rPr>
        <w:t>。</w:t>
      </w:r>
      <w:r>
        <w:rPr>
          <w:rFonts w:hint="eastAsia" w:ascii="仿宋_GB2312" w:hAnsi="仿宋" w:eastAsia="仿宋_GB2312"/>
          <w:color w:val="000000" w:themeColor="text1"/>
          <w:kern w:val="2"/>
          <w:sz w:val="32"/>
          <w:szCs w:val="32"/>
          <w:lang w:val="en-US" w:eastAsia="zh-CN"/>
          <w14:textFill>
            <w14:solidFill>
              <w14:schemeClr w14:val="tx1"/>
            </w14:solidFill>
          </w14:textFill>
        </w:rPr>
        <w:t>项目场区排水实施“雨污分流、污污分流”制，雨水经过雨水沟收集后排经场内池塘后排入龙潭桥镇渔场。生活污水、冲洗废水和喷淋废水依托现有三级化粪池处理后（共设置有20立方米的三级化粪池四个，生活污水经1#三级化粪池处理，鸡舍1#-5#冲洗废水、配套的鸡粪收集间冲洗废水和喷淋废水经2#三级化粪池处理，鸡舍6#-8#冲洗废水、配套的鸡粪收集间冲洗废水和喷淋废水经4#三级化粪池处理，雏育育成舍1#-2#冲洗废水、配套的鸡粪收集间冲洗废水和喷淋废水经3#化粪池处理），通过污水泵抽至污水罐车用于场内菜地、林园施肥不外排，废水经三级化粪池处理后，需满足《肥料中有毒有害物质的限量要求》规定的限值标准，方可用于场内菜地、林园施肥</w:t>
      </w: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鸡舍降温水配套循环水池收集冷却后循环使用不外排。鸡舍冲洗分批次错峰作业，鸡粪收集间冲洗作业仅在夏季进行，非灌溉期冲洗废水配套一座</w:t>
      </w:r>
      <w:r>
        <w:rPr>
          <w:rFonts w:hint="eastAsia" w:ascii="仿宋_GB2312" w:hAnsi="仿宋" w:eastAsia="仿宋_GB2312"/>
          <w:color w:val="auto"/>
          <w:kern w:val="2"/>
          <w:sz w:val="32"/>
          <w:szCs w:val="32"/>
          <w:lang w:val="en-US" w:eastAsia="zh-CN"/>
        </w:rPr>
        <w:t>55立方米的废水暂存池暂存。本项目废水严禁排入周边地表水体。</w:t>
      </w:r>
    </w:p>
    <w:p>
      <w:pPr>
        <w:keepNext w:val="0"/>
        <w:keepLines w:val="0"/>
        <w:pageBreakBefore w:val="0"/>
        <w:widowControl w:val="0"/>
        <w:kinsoku/>
        <w:wordWrap/>
        <w:overflowPunct/>
        <w:topLinePunct w:val="0"/>
        <w:bidi w:val="0"/>
        <w:adjustRightInd w:val="0"/>
        <w:spacing w:after="0" w:line="560" w:lineRule="exact"/>
        <w:ind w:firstLine="640" w:firstLineChars="200"/>
        <w:jc w:val="both"/>
        <w:textAlignment w:val="auto"/>
        <w:rPr>
          <w:rFonts w:hint="eastAsia" w:ascii="仿宋_GB2312" w:hAnsi="仿宋" w:eastAsia="仿宋_GB2312"/>
          <w:color w:val="000000" w:themeColor="text1"/>
          <w:kern w:val="2"/>
          <w:sz w:val="32"/>
          <w:szCs w:val="32"/>
          <w:lang w:val="en-US" w:eastAsia="zh-CN"/>
          <w14:textFill>
            <w14:solidFill>
              <w14:schemeClr w14:val="tx1"/>
            </w14:solidFill>
          </w14:textFill>
        </w:rPr>
      </w:pP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三</w:t>
      </w:r>
      <w:r>
        <w:rPr>
          <w:rFonts w:hint="eastAsia" w:ascii="仿宋_GB2312" w:hAnsi="仿宋" w:eastAsia="仿宋_GB2312"/>
          <w:color w:val="auto"/>
          <w:kern w:val="2"/>
          <w:sz w:val="32"/>
          <w:szCs w:val="32"/>
        </w:rPr>
        <w:t>）严格落实大气污染防治措施。</w:t>
      </w:r>
      <w:r>
        <w:rPr>
          <w:rFonts w:hint="eastAsia" w:ascii="仿宋_GB2312" w:hAnsi="仿宋" w:eastAsia="仿宋_GB2312"/>
          <w:color w:val="auto"/>
          <w:kern w:val="2"/>
          <w:sz w:val="32"/>
          <w:szCs w:val="32"/>
          <w:lang w:val="en-US" w:eastAsia="zh-CN"/>
        </w:rPr>
        <w:t>对废气污染物产生环节采取有效的收集和治理措施，减少无组织排放。养殖场产生的恶臭通过采用机械清粪工艺、粪污及时转运、改进饲养工艺、加强厂区绿化、合理布局等措施减轻对大气的影响。鸡舍采用全密闭结构，机械通风方式，恶臭气体通过专用排风口设置滤网和喷淋除臭设施处理后无组织排放（鸡舍1#-3#设置一条，鸡舍4#-5#设置一条，鸡舍6#-8#设置一条，雏育育成舍1#-2#设置一条）。鸡粪收集廊道和收集间均采取密闭结构，恶臭气体通过集气罩收集后引至鸡舍喷淋除臭设施处理后无组织排放。鸡粪不在场区暂存，在鸡粪收集间直接装车运至湖南立诚生物科技有限公司处理，鸡粪运输车辆选用具备密闭功能的专用罐车或厢式运输车，运输路线优先选择远离水源地和居民区、学校、医院等环境敏感目标的路线。</w:t>
      </w:r>
      <w:r>
        <w:rPr>
          <w:rFonts w:hint="eastAsia" w:ascii="仿宋_GB2312" w:hAnsi="仿宋" w:eastAsia="仿宋_GB2312"/>
          <w:color w:val="auto"/>
          <w:kern w:val="2"/>
          <w:sz w:val="32"/>
          <w:szCs w:val="32"/>
          <w:lang w:eastAsia="zh-CN"/>
        </w:rPr>
        <w:t>备用电源柴油发电机烟气通过自身携带的废气净化装置处理后尾气通过专用烟道引至屋顶排放。</w:t>
      </w:r>
    </w:p>
    <w:p>
      <w:pPr>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default"/>
          <w:lang w:val="en-US" w:eastAsia="zh-CN"/>
        </w:rPr>
      </w:pPr>
      <w:r>
        <w:rPr>
          <w:rFonts w:hint="eastAsia" w:ascii="仿宋_GB2312" w:hAnsi="仿宋" w:eastAsia="仿宋_GB2312" w:cs="Times New Roman"/>
          <w:color w:val="auto"/>
          <w:kern w:val="2"/>
          <w:sz w:val="32"/>
          <w:szCs w:val="32"/>
          <w:lang w:val="en-US" w:eastAsia="zh-CN" w:bidi="ar-SA"/>
        </w:rPr>
        <w:t>氨气、硫化氢无组织排放执行《恶臭污染物排放标准》（GB14554-93）表1二级新扩改建限值标准；臭气浓度执行《畜禽养殖业污染物排放标准》（GB18596-2001）表7限值标准；柴油发电机烟气污染物排放执行《非道路移动机械用柴油机排气污染物排放限值及测量方法（中国第三、四阶段）》（GB20891-2014）限值标准。</w:t>
      </w:r>
    </w:p>
    <w:p>
      <w:pPr>
        <w:widowControl w:val="0"/>
        <w:spacing w:after="0" w:line="560" w:lineRule="exact"/>
        <w:ind w:firstLine="640" w:firstLineChars="200"/>
        <w:jc w:val="both"/>
        <w:rPr>
          <w:rFonts w:hint="eastAsia" w:ascii="仿宋_GB2312" w:hAnsi="仿宋" w:eastAsia="仿宋_GB2312"/>
          <w:color w:val="FF0000"/>
          <w:kern w:val="2"/>
          <w:sz w:val="32"/>
          <w:szCs w:val="32"/>
        </w:rPr>
      </w:pP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四</w:t>
      </w:r>
      <w:r>
        <w:rPr>
          <w:rFonts w:hint="eastAsia" w:ascii="仿宋_GB2312" w:hAnsi="仿宋" w:eastAsia="仿宋_GB2312"/>
          <w:color w:val="auto"/>
          <w:kern w:val="2"/>
          <w:sz w:val="32"/>
          <w:szCs w:val="32"/>
        </w:rPr>
        <w:t>）严格落实固体废物收集和处置措施。</w:t>
      </w:r>
      <w:r>
        <w:rPr>
          <w:rFonts w:hint="eastAsia" w:ascii="仿宋_GB2312" w:hAnsi="仿宋" w:eastAsia="仿宋_GB2312"/>
          <w:color w:val="auto"/>
          <w:kern w:val="2"/>
          <w:sz w:val="32"/>
          <w:szCs w:val="32"/>
          <w:lang w:val="en-US" w:eastAsia="zh-CN"/>
        </w:rPr>
        <w:t>固体废物的处置遵循“减量化、资源化、无害化”原则，一般</w:t>
      </w:r>
      <w:r>
        <w:rPr>
          <w:rFonts w:hint="eastAsia" w:ascii="仿宋_GB2312" w:hAnsi="仿宋" w:eastAsia="仿宋_GB2312"/>
          <w:color w:val="auto"/>
          <w:kern w:val="2"/>
          <w:sz w:val="32"/>
          <w:szCs w:val="32"/>
        </w:rPr>
        <w:t>固体废物的收集、暂存及转移符合《一般工业固体废物贮存和填埋污染控制标准》（GB18599-2020）要求</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lang w:val="en-US" w:eastAsia="zh-CN"/>
        </w:rPr>
        <w:t>危险废物的收集、暂存及转移符合《危险废物贮存污染物控制标准》（GB18597-2023）要求，防止二次污染。固体废物委托他人运输、利用、处置的，应当对受委托方的主体资格和技术能力进行核实，依法签订书面合同，在合同中约定污染防治要求</w:t>
      </w:r>
      <w:r>
        <w:rPr>
          <w:rFonts w:hint="eastAsia" w:ascii="仿宋_GB2312" w:hAnsi="仿宋" w:eastAsia="仿宋_GB2312"/>
          <w:color w:val="auto"/>
          <w:kern w:val="2"/>
          <w:sz w:val="32"/>
          <w:szCs w:val="32"/>
        </w:rPr>
        <w:t>。</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五</w:t>
      </w:r>
      <w:r>
        <w:rPr>
          <w:rFonts w:hint="eastAsia" w:ascii="仿宋_GB2312" w:hAnsi="仿宋" w:eastAsia="仿宋_GB2312"/>
          <w:color w:val="auto"/>
          <w:kern w:val="2"/>
          <w:sz w:val="32"/>
          <w:szCs w:val="32"/>
        </w:rPr>
        <w:t>）严格落实噪声污染防治措施。优化总平面布局，选用低噪声设备，对高噪声设备采取</w:t>
      </w:r>
      <w:r>
        <w:rPr>
          <w:rFonts w:hint="eastAsia" w:ascii="仿宋_GB2312" w:hAnsi="仿宋" w:eastAsia="仿宋_GB2312"/>
          <w:color w:val="auto"/>
          <w:kern w:val="2"/>
          <w:sz w:val="32"/>
          <w:szCs w:val="32"/>
          <w:lang w:val="en-US" w:eastAsia="zh-CN"/>
        </w:rPr>
        <w:t>密闭和实体砖墙</w:t>
      </w:r>
      <w:r>
        <w:rPr>
          <w:rFonts w:hint="eastAsia" w:ascii="仿宋_GB2312" w:hAnsi="仿宋" w:eastAsia="仿宋_GB2312"/>
          <w:color w:val="auto"/>
          <w:kern w:val="2"/>
          <w:sz w:val="32"/>
          <w:szCs w:val="32"/>
        </w:rPr>
        <w:t>隔声</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rPr>
        <w:t>基础减振</w:t>
      </w:r>
      <w:r>
        <w:rPr>
          <w:rFonts w:hint="eastAsia" w:ascii="仿宋_GB2312" w:hAnsi="仿宋" w:eastAsia="仿宋_GB2312"/>
          <w:color w:val="auto"/>
          <w:kern w:val="2"/>
          <w:sz w:val="32"/>
          <w:szCs w:val="32"/>
          <w:lang w:eastAsia="zh-CN"/>
        </w:rPr>
        <w:t>、加强场区绿化</w:t>
      </w:r>
      <w:r>
        <w:rPr>
          <w:rFonts w:hint="eastAsia" w:ascii="仿宋_GB2312" w:hAnsi="仿宋" w:eastAsia="仿宋_GB2312"/>
          <w:color w:val="auto"/>
          <w:kern w:val="2"/>
          <w:sz w:val="32"/>
          <w:szCs w:val="32"/>
        </w:rPr>
        <w:t>等降噪措施，确保厂界噪声达到《工业企业厂界环境噪声排放标准》（GB12348-2008）</w:t>
      </w:r>
      <w:r>
        <w:rPr>
          <w:rFonts w:hint="eastAsia" w:ascii="仿宋_GB2312" w:hAnsi="仿宋" w:eastAsia="仿宋_GB2312"/>
          <w:color w:val="auto"/>
          <w:kern w:val="2"/>
          <w:sz w:val="32"/>
          <w:szCs w:val="32"/>
          <w:lang w:val="en-US" w:eastAsia="zh-CN"/>
        </w:rPr>
        <w:t>2</w:t>
      </w:r>
      <w:r>
        <w:rPr>
          <w:rFonts w:hint="eastAsia" w:ascii="仿宋_GB2312" w:hAnsi="仿宋" w:eastAsia="仿宋_GB2312"/>
          <w:color w:val="auto"/>
          <w:kern w:val="2"/>
          <w:sz w:val="32"/>
          <w:szCs w:val="32"/>
        </w:rPr>
        <w:t>类标准。</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六</w:t>
      </w:r>
      <w:r>
        <w:rPr>
          <w:rFonts w:hint="eastAsia" w:ascii="仿宋_GB2312" w:hAnsi="仿宋" w:eastAsia="仿宋_GB2312"/>
          <w:color w:val="auto"/>
          <w:kern w:val="2"/>
          <w:sz w:val="32"/>
          <w:szCs w:val="32"/>
        </w:rPr>
        <w:t>）严格落实</w:t>
      </w:r>
      <w:r>
        <w:rPr>
          <w:rFonts w:hint="eastAsia" w:ascii="仿宋_GB2312" w:hAnsi="仿宋" w:eastAsia="仿宋_GB2312"/>
          <w:color w:val="auto"/>
          <w:kern w:val="2"/>
          <w:sz w:val="32"/>
          <w:szCs w:val="32"/>
          <w:lang w:eastAsia="zh-CN"/>
        </w:rPr>
        <w:t>地下水和土壤</w:t>
      </w:r>
      <w:r>
        <w:rPr>
          <w:rFonts w:hint="eastAsia" w:ascii="仿宋_GB2312" w:hAnsi="仿宋" w:eastAsia="仿宋_GB2312"/>
          <w:color w:val="auto"/>
          <w:kern w:val="2"/>
          <w:sz w:val="32"/>
          <w:szCs w:val="32"/>
        </w:rPr>
        <w:t>污染防治措施。</w:t>
      </w:r>
      <w:r>
        <w:rPr>
          <w:rFonts w:hint="eastAsia" w:ascii="仿宋_GB2312" w:hAnsi="仿宋" w:eastAsia="仿宋_GB2312"/>
          <w:color w:val="auto"/>
          <w:kern w:val="2"/>
          <w:sz w:val="32"/>
          <w:szCs w:val="32"/>
          <w:lang w:eastAsia="zh-CN"/>
        </w:rPr>
        <w:t>在项目场区采取有效的防渗措施，并加强在项目场区和场地下游的地下水跟踪监测</w:t>
      </w:r>
      <w:r>
        <w:rPr>
          <w:rFonts w:hint="eastAsia" w:ascii="仿宋_GB2312" w:hAnsi="仿宋" w:eastAsia="仿宋_GB2312"/>
          <w:color w:val="auto"/>
          <w:kern w:val="2"/>
          <w:sz w:val="32"/>
          <w:szCs w:val="32"/>
        </w:rPr>
        <w:t>。</w:t>
      </w:r>
    </w:p>
    <w:p>
      <w:pPr>
        <w:widowControl w:val="0"/>
        <w:spacing w:after="0" w:line="560" w:lineRule="exact"/>
        <w:ind w:firstLine="640" w:firstLineChars="200"/>
        <w:jc w:val="both"/>
        <w:rPr>
          <w:rFonts w:hint="default"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val="en-US" w:eastAsia="zh-CN"/>
        </w:rPr>
        <w:t>三、严格落实环境风险防范措施。严格落实《报告书》提出的各项环境事故风险防范措施，严防环境风险事故发生。按照《湖南省突发环境事故应急预案管理办法（修订版）》落实应急预案管理要求。</w:t>
      </w:r>
    </w:p>
    <w:p>
      <w:pPr>
        <w:widowControl w:val="0"/>
        <w:spacing w:after="0" w:line="560" w:lineRule="exact"/>
        <w:ind w:firstLine="640" w:firstLineChars="200"/>
        <w:jc w:val="both"/>
        <w:rPr>
          <w:rFonts w:hint="default" w:ascii="仿宋_GB2312" w:hAnsi="仿宋" w:eastAsia="仿宋_GB2312"/>
          <w:color w:val="0000FF"/>
          <w:kern w:val="2"/>
          <w:sz w:val="32"/>
          <w:szCs w:val="32"/>
          <w:lang w:val="en-US" w:eastAsia="zh-CN"/>
        </w:rPr>
      </w:pPr>
      <w:r>
        <w:rPr>
          <w:rFonts w:hint="eastAsia" w:ascii="仿宋_GB2312" w:hAnsi="仿宋" w:eastAsia="仿宋_GB2312"/>
          <w:color w:val="auto"/>
          <w:kern w:val="2"/>
          <w:sz w:val="32"/>
          <w:szCs w:val="32"/>
          <w:lang w:val="en-US" w:eastAsia="zh-CN"/>
        </w:rPr>
        <w:t>四</w:t>
      </w:r>
      <w:r>
        <w:rPr>
          <w:rFonts w:hint="default" w:ascii="仿宋_GB2312" w:hAnsi="仿宋" w:eastAsia="仿宋_GB2312"/>
          <w:color w:val="auto"/>
          <w:kern w:val="2"/>
          <w:sz w:val="32"/>
          <w:szCs w:val="32"/>
          <w:lang w:val="en-US" w:eastAsia="zh-CN"/>
        </w:rPr>
        <w:t>、</w:t>
      </w:r>
      <w:r>
        <w:rPr>
          <w:rFonts w:hint="eastAsia" w:ascii="仿宋_GB2312" w:hAnsi="仿宋" w:eastAsia="仿宋_GB2312"/>
          <w:color w:val="auto"/>
          <w:kern w:val="2"/>
          <w:sz w:val="32"/>
          <w:szCs w:val="32"/>
          <w:lang w:val="en-US" w:eastAsia="zh-CN"/>
        </w:rPr>
        <w:t>根据《报告书》预测及分析结论：本项目设置200米的环境防护距离，在环境防护距离范围内不得再规划布局居民区、医院和学校等环境敏感单元。</w:t>
      </w:r>
    </w:p>
    <w:p>
      <w:pPr>
        <w:widowControl w:val="0"/>
        <w:spacing w:after="0" w:line="560" w:lineRule="exact"/>
        <w:ind w:firstLine="640" w:firstLineChars="200"/>
        <w:jc w:val="both"/>
        <w:rPr>
          <w:rFonts w:hint="eastAsia"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val="en-US" w:eastAsia="zh-CN"/>
        </w:rPr>
        <w:t>五、养殖生产区和粪污处理区实施物理隔离，确保相关职能部门可通过专门通道及时正常开展污染防治设施监督检查工作。</w:t>
      </w:r>
    </w:p>
    <w:p>
      <w:pPr>
        <w:widowControl w:val="0"/>
        <w:spacing w:after="0" w:line="560" w:lineRule="exact"/>
        <w:ind w:firstLine="640" w:firstLineChars="200"/>
        <w:jc w:val="both"/>
        <w:rPr>
          <w:rFonts w:hint="eastAsia"/>
          <w:lang w:val="en-US" w:eastAsia="zh-CN"/>
        </w:rPr>
      </w:pPr>
      <w:r>
        <w:rPr>
          <w:rFonts w:hint="eastAsia" w:ascii="仿宋_GB2312" w:hAnsi="仿宋" w:eastAsia="仿宋_GB2312"/>
          <w:color w:val="auto"/>
          <w:kern w:val="2"/>
          <w:sz w:val="32"/>
          <w:szCs w:val="32"/>
          <w:lang w:val="en-US" w:eastAsia="zh-CN"/>
        </w:rPr>
        <w:t>六</w:t>
      </w:r>
      <w:r>
        <w:rPr>
          <w:rFonts w:hint="default" w:ascii="仿宋_GB2312" w:hAnsi="仿宋" w:eastAsia="仿宋_GB2312"/>
          <w:color w:val="auto"/>
          <w:kern w:val="2"/>
          <w:sz w:val="32"/>
          <w:szCs w:val="32"/>
          <w:lang w:val="en-US" w:eastAsia="zh-CN"/>
        </w:rPr>
        <w:t>、</w:t>
      </w:r>
      <w:r>
        <w:rPr>
          <w:rFonts w:hint="eastAsia" w:ascii="仿宋_GB2312" w:hAnsi="仿宋" w:eastAsia="仿宋_GB2312"/>
          <w:color w:val="auto"/>
          <w:kern w:val="2"/>
          <w:sz w:val="32"/>
          <w:szCs w:val="32"/>
          <w:lang w:val="en-US" w:eastAsia="zh-CN"/>
        </w:rPr>
        <w:t>严格执行环保“以新带老”制度，确保新老污染源产生的各项污染物达标排放，现有工程存在的各项环境问题一并解决。</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lang w:val="en-US" w:eastAsia="zh-CN"/>
        </w:rPr>
        <w:t>七、《报告书</w:t>
      </w:r>
      <w:r>
        <w:rPr>
          <w:rFonts w:hint="eastAsia" w:ascii="仿宋_GB2312" w:hAnsi="仿宋" w:eastAsia="仿宋_GB2312"/>
          <w:color w:val="auto"/>
          <w:kern w:val="2"/>
          <w:sz w:val="32"/>
          <w:szCs w:val="32"/>
        </w:rPr>
        <w:t>》经批复后，项目的性质、规模、地点、采用的生产工艺或者防治污染、防止生态破坏的措施发生重大变动的，应当重新报批项目环境影响评价文件。自批复之日起超过五年</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rPr>
        <w:t>方决定建设项目开工建设的，其环境影响评价文件应报我局重新审核。</w:t>
      </w:r>
      <w:r>
        <w:rPr>
          <w:rFonts w:hint="eastAsia" w:ascii="仿宋_GB2312" w:hAnsi="仿宋" w:eastAsia="仿宋_GB2312"/>
          <w:color w:val="auto"/>
          <w:kern w:val="2"/>
          <w:sz w:val="32"/>
          <w:szCs w:val="32"/>
          <w:lang w:val="en-US" w:eastAsia="zh-CN"/>
        </w:rPr>
        <w:t>本项目建设、运行依法需要其他行政许可的，你单位应按规定及时办理并取得其他行政许可。</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lang w:eastAsia="zh-CN"/>
        </w:rPr>
        <w:t>八</w:t>
      </w:r>
      <w:r>
        <w:rPr>
          <w:rFonts w:hint="eastAsia" w:ascii="仿宋_GB2312" w:hAnsi="仿宋" w:eastAsia="仿宋_GB2312"/>
          <w:color w:val="auto"/>
          <w:kern w:val="2"/>
          <w:sz w:val="32"/>
          <w:szCs w:val="32"/>
        </w:rPr>
        <w:t>、项目建成后，在实际排污之前须完善排污许可相关手续，并严格按规定程序实施竣工环境保护验收。</w:t>
      </w:r>
    </w:p>
    <w:p>
      <w:pPr>
        <w:widowControl w:val="0"/>
        <w:spacing w:after="0" w:line="560" w:lineRule="exact"/>
        <w:ind w:firstLine="640" w:firstLineChars="200"/>
        <w:jc w:val="both"/>
        <w:rPr>
          <w:rFonts w:hint="eastAsia"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eastAsia="zh-CN"/>
        </w:rPr>
        <w:t>九</w:t>
      </w:r>
      <w:r>
        <w:rPr>
          <w:rFonts w:hint="eastAsia" w:ascii="仿宋_GB2312" w:hAnsi="仿宋" w:eastAsia="仿宋_GB2312"/>
          <w:color w:val="auto"/>
          <w:kern w:val="2"/>
          <w:sz w:val="32"/>
          <w:szCs w:val="32"/>
        </w:rPr>
        <w:t>、项目的环保“三同时”执行情况的监督检查和日常环境管理工作按属地管理原则由常德市生态环境局</w:t>
      </w:r>
      <w:r>
        <w:rPr>
          <w:rFonts w:hint="eastAsia" w:ascii="仿宋_GB2312" w:hAnsi="仿宋" w:eastAsia="仿宋_GB2312"/>
          <w:color w:val="auto"/>
          <w:kern w:val="2"/>
          <w:sz w:val="32"/>
          <w:szCs w:val="32"/>
          <w:lang w:eastAsia="zh-CN"/>
        </w:rPr>
        <w:t>汉寿</w:t>
      </w:r>
      <w:r>
        <w:rPr>
          <w:rFonts w:hint="eastAsia" w:ascii="仿宋_GB2312" w:hAnsi="仿宋" w:eastAsia="仿宋_GB2312"/>
          <w:color w:val="auto"/>
          <w:kern w:val="2"/>
          <w:sz w:val="32"/>
          <w:szCs w:val="32"/>
        </w:rPr>
        <w:t>分局具体负责。</w:t>
      </w:r>
      <w:r>
        <w:rPr>
          <w:rFonts w:hint="eastAsia" w:ascii="仿宋_GB2312" w:hAnsi="仿宋" w:eastAsia="仿宋_GB2312"/>
          <w:color w:val="auto"/>
          <w:kern w:val="2"/>
          <w:sz w:val="32"/>
          <w:szCs w:val="32"/>
          <w:lang w:eastAsia="zh-CN"/>
        </w:rPr>
        <w:t>建设单位应在收到本批复后的</w:t>
      </w:r>
      <w:r>
        <w:rPr>
          <w:rFonts w:hint="eastAsia" w:ascii="仿宋_GB2312" w:hAnsi="仿宋" w:eastAsia="仿宋_GB2312"/>
          <w:color w:val="auto"/>
          <w:kern w:val="2"/>
          <w:sz w:val="32"/>
          <w:szCs w:val="32"/>
          <w:lang w:val="en-US" w:eastAsia="zh-CN"/>
        </w:rPr>
        <w:t>15个工作日内，将批准后的《报告书》及本批复送至常德市生态环境局汉寿分局。</w:t>
      </w:r>
    </w:p>
    <w:p>
      <w:pPr>
        <w:pStyle w:val="2"/>
        <w:rPr>
          <w:rFonts w:hint="eastAsia"/>
          <w:lang w:val="en-US" w:eastAsia="zh-CN"/>
        </w:rPr>
      </w:pPr>
    </w:p>
    <w:p>
      <w:pPr>
        <w:pStyle w:val="2"/>
        <w:rPr>
          <w:rFonts w:hint="eastAsia"/>
        </w:rPr>
      </w:pPr>
    </w:p>
    <w:p>
      <w:pPr>
        <w:spacing w:after="0" w:line="560" w:lineRule="exact"/>
        <w:rPr>
          <w:rFonts w:hint="eastAsia" w:ascii="仿宋_GB2312" w:eastAsia="仿宋_GB2312"/>
          <w:color w:val="auto"/>
          <w:sz w:val="32"/>
          <w:szCs w:val="32"/>
        </w:rPr>
      </w:pPr>
    </w:p>
    <w:p>
      <w:pPr>
        <w:spacing w:after="0" w:line="560" w:lineRule="exact"/>
        <w:ind w:firstLine="5385" w:firstLineChars="1683"/>
        <w:rPr>
          <w:rFonts w:ascii="仿宋_GB2312" w:eastAsia="仿宋_GB2312"/>
          <w:color w:val="auto"/>
          <w:sz w:val="32"/>
          <w:szCs w:val="32"/>
        </w:rPr>
      </w:pPr>
      <w:r>
        <w:rPr>
          <w:rFonts w:hint="eastAsia" w:ascii="仿宋_GB2312" w:eastAsia="仿宋_GB2312"/>
          <w:color w:val="auto"/>
          <w:sz w:val="32"/>
          <w:szCs w:val="32"/>
        </w:rPr>
        <w:t>常德市生态环境局</w:t>
      </w:r>
    </w:p>
    <w:p>
      <w:pPr>
        <w:widowControl w:val="0"/>
        <w:spacing w:after="0" w:line="560" w:lineRule="exact"/>
        <w:ind w:firstLine="5385" w:firstLineChars="1683"/>
        <w:rPr>
          <w:rFonts w:hint="eastAsia"/>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日</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4"/>
        <w:ind w:left="0" w:leftChars="0" w:firstLine="0" w:firstLineChars="0"/>
      </w:pPr>
    </w:p>
    <w:p>
      <w:pPr>
        <w:widowControl w:val="0"/>
        <w:pBdr>
          <w:top w:val="single" w:color="auto" w:sz="4" w:space="1"/>
          <w:bottom w:val="single" w:color="auto" w:sz="4" w:space="1"/>
        </w:pBdr>
        <w:autoSpaceDE w:val="0"/>
        <w:autoSpaceDN w:val="0"/>
        <w:snapToGrid/>
        <w:spacing w:after="0" w:line="520" w:lineRule="exact"/>
        <w:jc w:val="both"/>
        <w:rPr>
          <w:rFonts w:hint="eastAsia" w:ascii="仿宋_GB2312" w:hAnsi="仿宋" w:eastAsia="仿宋_GB2312"/>
          <w:color w:val="auto"/>
          <w:spacing w:val="0"/>
          <w:sz w:val="28"/>
          <w:szCs w:val="28"/>
          <w:lang w:val="en-GB"/>
        </w:rPr>
      </w:pPr>
      <w:r>
        <w:rPr>
          <w:rFonts w:hint="eastAsia" w:ascii="仿宋_GB2312" w:hAnsi="Times New Roman" w:eastAsia="仿宋_GB2312" w:cs="黑体"/>
          <w:color w:val="auto"/>
          <w:spacing w:val="0"/>
          <w:sz w:val="28"/>
          <w:szCs w:val="28"/>
        </w:rPr>
        <w:t>抄送：</w:t>
      </w:r>
      <w:r>
        <w:rPr>
          <w:rFonts w:hint="eastAsia" w:ascii="仿宋_GB2312" w:hAnsi="仿宋" w:eastAsia="仿宋_GB2312"/>
          <w:color w:val="auto"/>
          <w:spacing w:val="0"/>
          <w:sz w:val="28"/>
          <w:szCs w:val="28"/>
          <w:lang w:val="en-GB"/>
        </w:rPr>
        <w:t>常德市生态环境局</w:t>
      </w:r>
      <w:r>
        <w:rPr>
          <w:rFonts w:hint="eastAsia" w:ascii="仿宋_GB2312" w:hAnsi="仿宋" w:eastAsia="仿宋_GB2312"/>
          <w:color w:val="auto"/>
          <w:spacing w:val="0"/>
          <w:sz w:val="28"/>
          <w:szCs w:val="28"/>
          <w:lang w:val="en-GB" w:eastAsia="zh-CN"/>
        </w:rPr>
        <w:t>汉寿</w:t>
      </w:r>
      <w:r>
        <w:rPr>
          <w:rFonts w:hint="eastAsia" w:ascii="仿宋_GB2312" w:hAnsi="仿宋" w:eastAsia="仿宋_GB2312"/>
          <w:color w:val="auto"/>
          <w:spacing w:val="0"/>
          <w:sz w:val="28"/>
          <w:szCs w:val="28"/>
          <w:lang w:val="en-GB"/>
        </w:rPr>
        <w:t>分局、</w:t>
      </w:r>
      <w:r>
        <w:rPr>
          <w:rFonts w:hint="eastAsia" w:ascii="仿宋_GB2312" w:hAnsi="仿宋" w:eastAsia="仿宋_GB2312"/>
          <w:color w:val="auto"/>
          <w:spacing w:val="0"/>
          <w:sz w:val="28"/>
          <w:szCs w:val="28"/>
          <w:lang w:val="en-GB" w:eastAsia="zh-CN"/>
        </w:rPr>
        <w:t>湖南义格环保科技</w:t>
      </w:r>
      <w:r>
        <w:rPr>
          <w:rFonts w:hint="eastAsia" w:ascii="仿宋_GB2312" w:hAnsi="仿宋" w:eastAsia="仿宋_GB2312"/>
          <w:color w:val="auto"/>
          <w:spacing w:val="0"/>
          <w:sz w:val="28"/>
          <w:szCs w:val="28"/>
        </w:rPr>
        <w:t>有限公司</w:t>
      </w:r>
    </w:p>
    <w:sectPr>
      <w:headerReference r:id="rId4" w:type="default"/>
      <w:footerReference r:id="rId5" w:type="default"/>
      <w:footerReference r:id="rId6" w:type="even"/>
      <w:pgSz w:w="11906" w:h="16838"/>
      <w:pgMar w:top="2098" w:right="1474" w:bottom="1701" w:left="1588" w:header="709" w:footer="709" w:gutter="0"/>
      <w:pgNumType w:fmt="numberInDash"/>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embedRegular r:id="rId1" w:fontKey="{761EE1E3-B02D-4181-BB3E-2D95A59654AD}"/>
  </w:font>
  <w:font w:name="宋体">
    <w:panose1 w:val="02010600030101010101"/>
    <w:charset w:val="50"/>
    <w:family w:val="auto"/>
    <w:pitch w:val="default"/>
    <w:sig w:usb0="00000203" w:usb1="288F0000" w:usb2="00000006" w:usb3="00000000" w:csb0="00040001" w:csb1="00000000"/>
    <w:embedRegular r:id="rId2" w:fontKey="{238AFCC2-096B-45C5-AF7E-EACE2590AC5D}"/>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3" w:fontKey="{7D2A1F2D-674E-40EB-BE77-9EC59106A2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4" w:fontKey="{31BF6842-2E57-4598-9464-0E7397415FB7}"/>
  </w:font>
  <w:font w:name="仿宋">
    <w:panose1 w:val="02010609060101010101"/>
    <w:charset w:val="86"/>
    <w:family w:val="auto"/>
    <w:pitch w:val="default"/>
    <w:sig w:usb0="800002BF" w:usb1="38CF7CFA" w:usb2="00000016" w:usb3="00000000" w:csb0="00040001" w:csb1="00000000"/>
    <w:embedRegular r:id="rId5" w:fontKey="{F4F1F96E-7FFC-4821-AAB2-E9CEA41A9F9A}"/>
  </w:font>
  <w:font w:name="方正小标宋简体">
    <w:altName w:val="方正舒体"/>
    <w:panose1 w:val="02000000000000000000"/>
    <w:charset w:val="86"/>
    <w:family w:val="script"/>
    <w:pitch w:val="default"/>
    <w:sig w:usb0="00000000" w:usb1="00000000" w:usb2="00000012" w:usb3="00000000" w:csb0="00040001" w:csb1="00000000"/>
    <w:embedRegular r:id="rId6" w:fontKey="{030E3B06-B169-4A19-BB71-C2FE1016EC4C}"/>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4"/>
        <w:szCs w:val="24"/>
      </w:rPr>
    </w:sdtEndPr>
    <w:sdtContent>
      <w:p>
        <w:pPr>
          <w:pStyle w:val="10"/>
          <w:jc w:val="right"/>
          <w:rPr>
            <w:rFonts w:hint="eastAsia"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 PAGE   \* MERGEFORMAT </w:instrText>
        </w:r>
        <w:r>
          <w:rPr>
            <w:rFonts w:ascii="宋体" w:hAnsi="宋体" w:eastAsia="宋体"/>
            <w:sz w:val="24"/>
            <w:szCs w:val="24"/>
          </w:rPr>
          <w:fldChar w:fldCharType="separate"/>
        </w:r>
        <w:r>
          <w:rPr>
            <w:rFonts w:ascii="宋体" w:hAnsi="宋体" w:eastAsia="宋体"/>
            <w:sz w:val="24"/>
            <w:szCs w:val="24"/>
            <w:lang w:val="zh-CN"/>
          </w:rPr>
          <w:t>-</w:t>
        </w:r>
        <w:r>
          <w:rPr>
            <w:rFonts w:ascii="宋体" w:hAnsi="宋体" w:eastAsia="宋体"/>
            <w:sz w:val="24"/>
            <w:szCs w:val="24"/>
          </w:rPr>
          <w:t xml:space="preserve"> 5 -</w:t>
        </w:r>
        <w:r>
          <w:rPr>
            <w:rFonts w:ascii="宋体" w:hAnsi="宋体" w:eastAsia="宋体"/>
            <w:sz w:val="24"/>
            <w:szCs w:val="24"/>
            <w:lang w:val="zh-CN"/>
          </w:rPr>
          <w:fldChar w:fldCharType="end"/>
        </w:r>
      </w:p>
    </w:sdtContent>
  </w:sdt>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4"/>
        <w:szCs w:val="24"/>
      </w:rPr>
    </w:sdtEndPr>
    <w:sdtContent>
      <w:p>
        <w:pPr>
          <w:pStyle w:val="10"/>
          <w:rPr>
            <w:rFonts w:hint="eastAsia"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w:t>
        </w:r>
        <w:r>
          <w:rPr>
            <w:rFonts w:ascii="宋体" w:hAnsi="宋体" w:eastAsia="宋体"/>
            <w:sz w:val="24"/>
            <w:szCs w:val="24"/>
          </w:rPr>
          <w:t xml:space="preserve"> 2 -</w:t>
        </w:r>
        <w:r>
          <w:rPr>
            <w:rFonts w:ascii="宋体" w:hAnsi="宋体" w:eastAsia="宋体"/>
            <w:sz w:val="24"/>
            <w:szCs w:val="24"/>
          </w:rPr>
          <w:fldChar w:fldCharType="end"/>
        </w:r>
      </w:p>
    </w:sdtContent>
  </w:sdt>
  <w:p>
    <w:pPr>
      <w:pStyle w:val="10"/>
      <w:tabs>
        <w:tab w:val="left" w:pos="3583"/>
        <w:tab w:val="clear" w:pos="4153"/>
        <w:tab w:val="clear"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embedSystemFonts/>
  <w:saveSubsetFonts/>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footnotePr>
    <w:footnote w:id="0"/>
    <w:footnote w:id="1"/>
  </w:foot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wZDQ2ZDRjNTQyYzUxN2ZjYWQzZmQ1ZGZiMjhmOGQifQ=="/>
  </w:docVars>
  <w:rsids>
    <w:rsidRoot w:val="00D31D50"/>
    <w:rsid w:val="0000280A"/>
    <w:rsid w:val="00005413"/>
    <w:rsid w:val="00012362"/>
    <w:rsid w:val="0001427E"/>
    <w:rsid w:val="00022A11"/>
    <w:rsid w:val="000249F7"/>
    <w:rsid w:val="00024D52"/>
    <w:rsid w:val="000254A9"/>
    <w:rsid w:val="00027523"/>
    <w:rsid w:val="00027E6E"/>
    <w:rsid w:val="00031547"/>
    <w:rsid w:val="000324D7"/>
    <w:rsid w:val="00051B3B"/>
    <w:rsid w:val="00052BFB"/>
    <w:rsid w:val="0005327B"/>
    <w:rsid w:val="00055C50"/>
    <w:rsid w:val="000571D9"/>
    <w:rsid w:val="00073B94"/>
    <w:rsid w:val="00076703"/>
    <w:rsid w:val="0008272A"/>
    <w:rsid w:val="0008275C"/>
    <w:rsid w:val="000843F3"/>
    <w:rsid w:val="000A0196"/>
    <w:rsid w:val="000A2978"/>
    <w:rsid w:val="000A6602"/>
    <w:rsid w:val="000B2325"/>
    <w:rsid w:val="000B2A56"/>
    <w:rsid w:val="000B394E"/>
    <w:rsid w:val="000B3983"/>
    <w:rsid w:val="000B7D30"/>
    <w:rsid w:val="000C336A"/>
    <w:rsid w:val="000C430B"/>
    <w:rsid w:val="000C631C"/>
    <w:rsid w:val="000C6DD6"/>
    <w:rsid w:val="000D2384"/>
    <w:rsid w:val="000D48FD"/>
    <w:rsid w:val="000D75DF"/>
    <w:rsid w:val="000E58D6"/>
    <w:rsid w:val="000F33D8"/>
    <w:rsid w:val="000F4213"/>
    <w:rsid w:val="000F685C"/>
    <w:rsid w:val="000F718A"/>
    <w:rsid w:val="00100635"/>
    <w:rsid w:val="00100762"/>
    <w:rsid w:val="00101501"/>
    <w:rsid w:val="001035EB"/>
    <w:rsid w:val="00104A5A"/>
    <w:rsid w:val="00105AB6"/>
    <w:rsid w:val="00110277"/>
    <w:rsid w:val="001140FB"/>
    <w:rsid w:val="0011707B"/>
    <w:rsid w:val="00122553"/>
    <w:rsid w:val="001260DA"/>
    <w:rsid w:val="001304F9"/>
    <w:rsid w:val="00130E63"/>
    <w:rsid w:val="00133AC9"/>
    <w:rsid w:val="00142E89"/>
    <w:rsid w:val="00143619"/>
    <w:rsid w:val="001439ED"/>
    <w:rsid w:val="00151D7D"/>
    <w:rsid w:val="001525EC"/>
    <w:rsid w:val="00153701"/>
    <w:rsid w:val="0015379D"/>
    <w:rsid w:val="001539DB"/>
    <w:rsid w:val="001610A4"/>
    <w:rsid w:val="00162636"/>
    <w:rsid w:val="00162E95"/>
    <w:rsid w:val="00163C3A"/>
    <w:rsid w:val="001726CC"/>
    <w:rsid w:val="00173216"/>
    <w:rsid w:val="001737F0"/>
    <w:rsid w:val="001751C4"/>
    <w:rsid w:val="00177C02"/>
    <w:rsid w:val="00180543"/>
    <w:rsid w:val="001819D2"/>
    <w:rsid w:val="0018239D"/>
    <w:rsid w:val="00182E47"/>
    <w:rsid w:val="00182F81"/>
    <w:rsid w:val="0018618B"/>
    <w:rsid w:val="00186BC9"/>
    <w:rsid w:val="00187C0A"/>
    <w:rsid w:val="00190C48"/>
    <w:rsid w:val="001944D4"/>
    <w:rsid w:val="001A24D2"/>
    <w:rsid w:val="001A2683"/>
    <w:rsid w:val="001A3405"/>
    <w:rsid w:val="001A56EB"/>
    <w:rsid w:val="001A58B1"/>
    <w:rsid w:val="001A6E2B"/>
    <w:rsid w:val="001B2565"/>
    <w:rsid w:val="001B5220"/>
    <w:rsid w:val="001C19D7"/>
    <w:rsid w:val="001C4911"/>
    <w:rsid w:val="001D187F"/>
    <w:rsid w:val="001D1A0D"/>
    <w:rsid w:val="001D1FA4"/>
    <w:rsid w:val="001D410B"/>
    <w:rsid w:val="001D52B6"/>
    <w:rsid w:val="001F0BC1"/>
    <w:rsid w:val="001F1C9F"/>
    <w:rsid w:val="001F3998"/>
    <w:rsid w:val="001F4042"/>
    <w:rsid w:val="001F5E9A"/>
    <w:rsid w:val="001F7044"/>
    <w:rsid w:val="00200BA1"/>
    <w:rsid w:val="002026FD"/>
    <w:rsid w:val="00203027"/>
    <w:rsid w:val="0020529E"/>
    <w:rsid w:val="00205699"/>
    <w:rsid w:val="0020595D"/>
    <w:rsid w:val="00205AF0"/>
    <w:rsid w:val="00205C21"/>
    <w:rsid w:val="00206E20"/>
    <w:rsid w:val="0020749E"/>
    <w:rsid w:val="00210090"/>
    <w:rsid w:val="002117F5"/>
    <w:rsid w:val="00212028"/>
    <w:rsid w:val="0021343E"/>
    <w:rsid w:val="002141F4"/>
    <w:rsid w:val="00214F33"/>
    <w:rsid w:val="0023404C"/>
    <w:rsid w:val="00234ACF"/>
    <w:rsid w:val="0024513E"/>
    <w:rsid w:val="00246BCA"/>
    <w:rsid w:val="00247739"/>
    <w:rsid w:val="0025367B"/>
    <w:rsid w:val="002539C1"/>
    <w:rsid w:val="00253A87"/>
    <w:rsid w:val="00263EB2"/>
    <w:rsid w:val="002652BB"/>
    <w:rsid w:val="00271B6C"/>
    <w:rsid w:val="00272957"/>
    <w:rsid w:val="0027504E"/>
    <w:rsid w:val="00282F43"/>
    <w:rsid w:val="002869A0"/>
    <w:rsid w:val="0029493A"/>
    <w:rsid w:val="00295320"/>
    <w:rsid w:val="00295C1F"/>
    <w:rsid w:val="00295CF8"/>
    <w:rsid w:val="002A1CA9"/>
    <w:rsid w:val="002A3988"/>
    <w:rsid w:val="002B5163"/>
    <w:rsid w:val="002B5740"/>
    <w:rsid w:val="002C5AC4"/>
    <w:rsid w:val="002C613C"/>
    <w:rsid w:val="002D2D60"/>
    <w:rsid w:val="002D341E"/>
    <w:rsid w:val="002D5D7E"/>
    <w:rsid w:val="002E1CE2"/>
    <w:rsid w:val="002E6C4B"/>
    <w:rsid w:val="002F20CF"/>
    <w:rsid w:val="002F230E"/>
    <w:rsid w:val="002F234F"/>
    <w:rsid w:val="002F468C"/>
    <w:rsid w:val="003072CB"/>
    <w:rsid w:val="00310EBE"/>
    <w:rsid w:val="00312153"/>
    <w:rsid w:val="0032202C"/>
    <w:rsid w:val="00322A99"/>
    <w:rsid w:val="00322D81"/>
    <w:rsid w:val="00323B43"/>
    <w:rsid w:val="00324F1C"/>
    <w:rsid w:val="00325DA9"/>
    <w:rsid w:val="003271FD"/>
    <w:rsid w:val="00327C34"/>
    <w:rsid w:val="0033065C"/>
    <w:rsid w:val="00331D0A"/>
    <w:rsid w:val="00336368"/>
    <w:rsid w:val="00341FEC"/>
    <w:rsid w:val="0034256F"/>
    <w:rsid w:val="00344077"/>
    <w:rsid w:val="00344088"/>
    <w:rsid w:val="00344EE4"/>
    <w:rsid w:val="00345664"/>
    <w:rsid w:val="00347B05"/>
    <w:rsid w:val="0035069F"/>
    <w:rsid w:val="00351009"/>
    <w:rsid w:val="003519E1"/>
    <w:rsid w:val="00354059"/>
    <w:rsid w:val="00355AD9"/>
    <w:rsid w:val="00356F68"/>
    <w:rsid w:val="00362D5C"/>
    <w:rsid w:val="00363B46"/>
    <w:rsid w:val="00366CF8"/>
    <w:rsid w:val="00372E0F"/>
    <w:rsid w:val="00373DFE"/>
    <w:rsid w:val="00374BA7"/>
    <w:rsid w:val="00377A8F"/>
    <w:rsid w:val="0038065A"/>
    <w:rsid w:val="003807AF"/>
    <w:rsid w:val="00383C37"/>
    <w:rsid w:val="00386674"/>
    <w:rsid w:val="003869F6"/>
    <w:rsid w:val="00392EF8"/>
    <w:rsid w:val="00394CAD"/>
    <w:rsid w:val="00395B58"/>
    <w:rsid w:val="0039781C"/>
    <w:rsid w:val="003A0B12"/>
    <w:rsid w:val="003A65D5"/>
    <w:rsid w:val="003B00BE"/>
    <w:rsid w:val="003B42A0"/>
    <w:rsid w:val="003B55E7"/>
    <w:rsid w:val="003B5AED"/>
    <w:rsid w:val="003B7935"/>
    <w:rsid w:val="003C136C"/>
    <w:rsid w:val="003C5250"/>
    <w:rsid w:val="003C790B"/>
    <w:rsid w:val="003C79D5"/>
    <w:rsid w:val="003D2635"/>
    <w:rsid w:val="003D37D8"/>
    <w:rsid w:val="003D49DE"/>
    <w:rsid w:val="003D4CE9"/>
    <w:rsid w:val="003E0DB3"/>
    <w:rsid w:val="003E1528"/>
    <w:rsid w:val="003E4089"/>
    <w:rsid w:val="003E5E59"/>
    <w:rsid w:val="003F2A20"/>
    <w:rsid w:val="003F3640"/>
    <w:rsid w:val="003F4D30"/>
    <w:rsid w:val="00402DBD"/>
    <w:rsid w:val="00406F5B"/>
    <w:rsid w:val="0041073B"/>
    <w:rsid w:val="00411BC5"/>
    <w:rsid w:val="004167B9"/>
    <w:rsid w:val="00416868"/>
    <w:rsid w:val="00424512"/>
    <w:rsid w:val="00425410"/>
    <w:rsid w:val="00426133"/>
    <w:rsid w:val="0042797C"/>
    <w:rsid w:val="004358AB"/>
    <w:rsid w:val="0044628F"/>
    <w:rsid w:val="0044665A"/>
    <w:rsid w:val="004479DB"/>
    <w:rsid w:val="004500AA"/>
    <w:rsid w:val="00450988"/>
    <w:rsid w:val="004523FE"/>
    <w:rsid w:val="00453944"/>
    <w:rsid w:val="00453F6D"/>
    <w:rsid w:val="00454AA7"/>
    <w:rsid w:val="004570F4"/>
    <w:rsid w:val="00462572"/>
    <w:rsid w:val="004633F0"/>
    <w:rsid w:val="00463F7C"/>
    <w:rsid w:val="00470D65"/>
    <w:rsid w:val="00474595"/>
    <w:rsid w:val="00474B0E"/>
    <w:rsid w:val="00475603"/>
    <w:rsid w:val="00481A45"/>
    <w:rsid w:val="00483FE2"/>
    <w:rsid w:val="0048416A"/>
    <w:rsid w:val="0048447C"/>
    <w:rsid w:val="00485458"/>
    <w:rsid w:val="0048736E"/>
    <w:rsid w:val="0049159A"/>
    <w:rsid w:val="004A235A"/>
    <w:rsid w:val="004A6F9F"/>
    <w:rsid w:val="004B00BB"/>
    <w:rsid w:val="004B3F43"/>
    <w:rsid w:val="004B49B4"/>
    <w:rsid w:val="004B5D4E"/>
    <w:rsid w:val="004B5E6B"/>
    <w:rsid w:val="004B6FF4"/>
    <w:rsid w:val="004B76FF"/>
    <w:rsid w:val="004C3A20"/>
    <w:rsid w:val="004C69C6"/>
    <w:rsid w:val="004D3F39"/>
    <w:rsid w:val="004E249A"/>
    <w:rsid w:val="004E523F"/>
    <w:rsid w:val="004E5B86"/>
    <w:rsid w:val="004F2D87"/>
    <w:rsid w:val="004F3C4D"/>
    <w:rsid w:val="004F4F4B"/>
    <w:rsid w:val="004F5234"/>
    <w:rsid w:val="004F6D0A"/>
    <w:rsid w:val="004F71D0"/>
    <w:rsid w:val="0050043C"/>
    <w:rsid w:val="005012E2"/>
    <w:rsid w:val="00501CB5"/>
    <w:rsid w:val="005145B2"/>
    <w:rsid w:val="005153D8"/>
    <w:rsid w:val="00516D1E"/>
    <w:rsid w:val="005220EB"/>
    <w:rsid w:val="0052444F"/>
    <w:rsid w:val="00526579"/>
    <w:rsid w:val="00530C32"/>
    <w:rsid w:val="0053125B"/>
    <w:rsid w:val="00531736"/>
    <w:rsid w:val="00531EF4"/>
    <w:rsid w:val="005423D4"/>
    <w:rsid w:val="00547B28"/>
    <w:rsid w:val="00550284"/>
    <w:rsid w:val="0055058A"/>
    <w:rsid w:val="005519EE"/>
    <w:rsid w:val="00551C81"/>
    <w:rsid w:val="00552584"/>
    <w:rsid w:val="00553D6B"/>
    <w:rsid w:val="0055729E"/>
    <w:rsid w:val="00563094"/>
    <w:rsid w:val="0056403B"/>
    <w:rsid w:val="005735CB"/>
    <w:rsid w:val="00575381"/>
    <w:rsid w:val="005766AC"/>
    <w:rsid w:val="005809FC"/>
    <w:rsid w:val="005842E6"/>
    <w:rsid w:val="00584499"/>
    <w:rsid w:val="00587048"/>
    <w:rsid w:val="00587886"/>
    <w:rsid w:val="00591289"/>
    <w:rsid w:val="005A1E01"/>
    <w:rsid w:val="005A259B"/>
    <w:rsid w:val="005A75E9"/>
    <w:rsid w:val="005B2E31"/>
    <w:rsid w:val="005B78D6"/>
    <w:rsid w:val="005C5AA1"/>
    <w:rsid w:val="005D0F2C"/>
    <w:rsid w:val="005D2F9C"/>
    <w:rsid w:val="005D35DE"/>
    <w:rsid w:val="005D5059"/>
    <w:rsid w:val="005D6E7A"/>
    <w:rsid w:val="005E1CFB"/>
    <w:rsid w:val="005E569D"/>
    <w:rsid w:val="005F51E0"/>
    <w:rsid w:val="005F66D1"/>
    <w:rsid w:val="0060029F"/>
    <w:rsid w:val="00610443"/>
    <w:rsid w:val="00612746"/>
    <w:rsid w:val="006159AE"/>
    <w:rsid w:val="00616E3C"/>
    <w:rsid w:val="00621C39"/>
    <w:rsid w:val="00622B52"/>
    <w:rsid w:val="00623219"/>
    <w:rsid w:val="00624147"/>
    <w:rsid w:val="00624D43"/>
    <w:rsid w:val="0062532D"/>
    <w:rsid w:val="0062599D"/>
    <w:rsid w:val="006328D4"/>
    <w:rsid w:val="00633819"/>
    <w:rsid w:val="006373CA"/>
    <w:rsid w:val="00640C65"/>
    <w:rsid w:val="00642C25"/>
    <w:rsid w:val="00642D95"/>
    <w:rsid w:val="00663EC7"/>
    <w:rsid w:val="006711AE"/>
    <w:rsid w:val="00672B2B"/>
    <w:rsid w:val="006746D8"/>
    <w:rsid w:val="00675448"/>
    <w:rsid w:val="00675C01"/>
    <w:rsid w:val="00676CB1"/>
    <w:rsid w:val="00686446"/>
    <w:rsid w:val="00687E6C"/>
    <w:rsid w:val="00694F89"/>
    <w:rsid w:val="00696215"/>
    <w:rsid w:val="0069680E"/>
    <w:rsid w:val="0069688C"/>
    <w:rsid w:val="0069723A"/>
    <w:rsid w:val="006A0A4C"/>
    <w:rsid w:val="006A10A2"/>
    <w:rsid w:val="006A548A"/>
    <w:rsid w:val="006B274E"/>
    <w:rsid w:val="006B360C"/>
    <w:rsid w:val="006B68D3"/>
    <w:rsid w:val="006C07F6"/>
    <w:rsid w:val="006C18EE"/>
    <w:rsid w:val="006C1F86"/>
    <w:rsid w:val="006C334F"/>
    <w:rsid w:val="006C4871"/>
    <w:rsid w:val="006D0EEF"/>
    <w:rsid w:val="006D0FC0"/>
    <w:rsid w:val="006D123A"/>
    <w:rsid w:val="006D26A5"/>
    <w:rsid w:val="006D2BE2"/>
    <w:rsid w:val="006D4391"/>
    <w:rsid w:val="006D4783"/>
    <w:rsid w:val="006D4AAB"/>
    <w:rsid w:val="006D5D7A"/>
    <w:rsid w:val="006D5E09"/>
    <w:rsid w:val="006D6D9E"/>
    <w:rsid w:val="006D710A"/>
    <w:rsid w:val="006E06EE"/>
    <w:rsid w:val="006E2B24"/>
    <w:rsid w:val="006E2E1D"/>
    <w:rsid w:val="006E4DDC"/>
    <w:rsid w:val="006F41AA"/>
    <w:rsid w:val="006F5C7E"/>
    <w:rsid w:val="006F5D63"/>
    <w:rsid w:val="006F6228"/>
    <w:rsid w:val="00700F51"/>
    <w:rsid w:val="00700F5D"/>
    <w:rsid w:val="00703F64"/>
    <w:rsid w:val="0070712E"/>
    <w:rsid w:val="0071078E"/>
    <w:rsid w:val="00710950"/>
    <w:rsid w:val="0071445B"/>
    <w:rsid w:val="00714D9E"/>
    <w:rsid w:val="00715E23"/>
    <w:rsid w:val="007163FA"/>
    <w:rsid w:val="007169E6"/>
    <w:rsid w:val="00720EFF"/>
    <w:rsid w:val="00723C16"/>
    <w:rsid w:val="00727E1B"/>
    <w:rsid w:val="00727EDF"/>
    <w:rsid w:val="007334BA"/>
    <w:rsid w:val="00736C26"/>
    <w:rsid w:val="0073779A"/>
    <w:rsid w:val="00742358"/>
    <w:rsid w:val="0074515F"/>
    <w:rsid w:val="0074780D"/>
    <w:rsid w:val="00754BD6"/>
    <w:rsid w:val="0076247C"/>
    <w:rsid w:val="0076286C"/>
    <w:rsid w:val="00762C52"/>
    <w:rsid w:val="0076439B"/>
    <w:rsid w:val="00765182"/>
    <w:rsid w:val="00766659"/>
    <w:rsid w:val="00766676"/>
    <w:rsid w:val="007706C2"/>
    <w:rsid w:val="007708BC"/>
    <w:rsid w:val="00771E2D"/>
    <w:rsid w:val="00773AB5"/>
    <w:rsid w:val="0077469B"/>
    <w:rsid w:val="00775A95"/>
    <w:rsid w:val="00775D0C"/>
    <w:rsid w:val="00776AAE"/>
    <w:rsid w:val="0078530B"/>
    <w:rsid w:val="007900CE"/>
    <w:rsid w:val="00791B97"/>
    <w:rsid w:val="00797DBC"/>
    <w:rsid w:val="007A076E"/>
    <w:rsid w:val="007A1084"/>
    <w:rsid w:val="007A453D"/>
    <w:rsid w:val="007A4DF8"/>
    <w:rsid w:val="007A5545"/>
    <w:rsid w:val="007C5210"/>
    <w:rsid w:val="007C543E"/>
    <w:rsid w:val="007C56D2"/>
    <w:rsid w:val="007C5717"/>
    <w:rsid w:val="007D1EF4"/>
    <w:rsid w:val="007D4830"/>
    <w:rsid w:val="007D5C2B"/>
    <w:rsid w:val="007E0F74"/>
    <w:rsid w:val="007E13FC"/>
    <w:rsid w:val="007E144D"/>
    <w:rsid w:val="007E1A83"/>
    <w:rsid w:val="007E3983"/>
    <w:rsid w:val="007E3B53"/>
    <w:rsid w:val="007F09CD"/>
    <w:rsid w:val="007F1DEA"/>
    <w:rsid w:val="007F453D"/>
    <w:rsid w:val="007F5F9E"/>
    <w:rsid w:val="007F68CC"/>
    <w:rsid w:val="00803FBC"/>
    <w:rsid w:val="00804C79"/>
    <w:rsid w:val="008055EA"/>
    <w:rsid w:val="00806F45"/>
    <w:rsid w:val="00807880"/>
    <w:rsid w:val="00810AF1"/>
    <w:rsid w:val="00816B11"/>
    <w:rsid w:val="00817441"/>
    <w:rsid w:val="00823572"/>
    <w:rsid w:val="00823878"/>
    <w:rsid w:val="00833757"/>
    <w:rsid w:val="0083572A"/>
    <w:rsid w:val="008360C8"/>
    <w:rsid w:val="008447F0"/>
    <w:rsid w:val="008453EA"/>
    <w:rsid w:val="00847C4B"/>
    <w:rsid w:val="00850696"/>
    <w:rsid w:val="00862161"/>
    <w:rsid w:val="00866255"/>
    <w:rsid w:val="00867A46"/>
    <w:rsid w:val="00870ABA"/>
    <w:rsid w:val="008714E2"/>
    <w:rsid w:val="00871548"/>
    <w:rsid w:val="008728C3"/>
    <w:rsid w:val="008826D9"/>
    <w:rsid w:val="00886659"/>
    <w:rsid w:val="00886C6A"/>
    <w:rsid w:val="00887C6F"/>
    <w:rsid w:val="00891D7E"/>
    <w:rsid w:val="00894858"/>
    <w:rsid w:val="00894A19"/>
    <w:rsid w:val="00894E98"/>
    <w:rsid w:val="00897D1D"/>
    <w:rsid w:val="008A0E0F"/>
    <w:rsid w:val="008B1BF6"/>
    <w:rsid w:val="008B7726"/>
    <w:rsid w:val="008C2229"/>
    <w:rsid w:val="008C3479"/>
    <w:rsid w:val="008D0A7D"/>
    <w:rsid w:val="008D4F16"/>
    <w:rsid w:val="008E0A1D"/>
    <w:rsid w:val="008E5759"/>
    <w:rsid w:val="008E6A23"/>
    <w:rsid w:val="008E7144"/>
    <w:rsid w:val="008F28C6"/>
    <w:rsid w:val="008F3689"/>
    <w:rsid w:val="008F7C44"/>
    <w:rsid w:val="009008B1"/>
    <w:rsid w:val="00901527"/>
    <w:rsid w:val="00902301"/>
    <w:rsid w:val="00902AA0"/>
    <w:rsid w:val="009033EA"/>
    <w:rsid w:val="009034CA"/>
    <w:rsid w:val="00906BA6"/>
    <w:rsid w:val="00910B64"/>
    <w:rsid w:val="00912BAC"/>
    <w:rsid w:val="009138CC"/>
    <w:rsid w:val="009151AA"/>
    <w:rsid w:val="00920004"/>
    <w:rsid w:val="00920A78"/>
    <w:rsid w:val="009237F7"/>
    <w:rsid w:val="00923E1A"/>
    <w:rsid w:val="00924027"/>
    <w:rsid w:val="00931822"/>
    <w:rsid w:val="00931CA3"/>
    <w:rsid w:val="00934737"/>
    <w:rsid w:val="00942DE2"/>
    <w:rsid w:val="00946EAE"/>
    <w:rsid w:val="009536E7"/>
    <w:rsid w:val="0095630D"/>
    <w:rsid w:val="00956EF9"/>
    <w:rsid w:val="00961BED"/>
    <w:rsid w:val="009653E3"/>
    <w:rsid w:val="009704D4"/>
    <w:rsid w:val="00971F12"/>
    <w:rsid w:val="009748E3"/>
    <w:rsid w:val="00975ED8"/>
    <w:rsid w:val="0097710A"/>
    <w:rsid w:val="0098162D"/>
    <w:rsid w:val="00991F6D"/>
    <w:rsid w:val="009930A6"/>
    <w:rsid w:val="009A182D"/>
    <w:rsid w:val="009A1C84"/>
    <w:rsid w:val="009A4413"/>
    <w:rsid w:val="009A6B09"/>
    <w:rsid w:val="009B0B62"/>
    <w:rsid w:val="009B61A0"/>
    <w:rsid w:val="009B6AFC"/>
    <w:rsid w:val="009C0494"/>
    <w:rsid w:val="009C7457"/>
    <w:rsid w:val="009D53F4"/>
    <w:rsid w:val="009E3569"/>
    <w:rsid w:val="009E4D99"/>
    <w:rsid w:val="009E501C"/>
    <w:rsid w:val="009E6230"/>
    <w:rsid w:val="009E7358"/>
    <w:rsid w:val="009F1DB9"/>
    <w:rsid w:val="009F2181"/>
    <w:rsid w:val="009F3BC2"/>
    <w:rsid w:val="00A00F13"/>
    <w:rsid w:val="00A0585B"/>
    <w:rsid w:val="00A07866"/>
    <w:rsid w:val="00A12815"/>
    <w:rsid w:val="00A160DC"/>
    <w:rsid w:val="00A21EB3"/>
    <w:rsid w:val="00A2613B"/>
    <w:rsid w:val="00A262DD"/>
    <w:rsid w:val="00A3387B"/>
    <w:rsid w:val="00A352AE"/>
    <w:rsid w:val="00A37820"/>
    <w:rsid w:val="00A406C2"/>
    <w:rsid w:val="00A4363D"/>
    <w:rsid w:val="00A463AC"/>
    <w:rsid w:val="00A46BAC"/>
    <w:rsid w:val="00A475AC"/>
    <w:rsid w:val="00A516AD"/>
    <w:rsid w:val="00A565CA"/>
    <w:rsid w:val="00A61D68"/>
    <w:rsid w:val="00A62658"/>
    <w:rsid w:val="00A62E1C"/>
    <w:rsid w:val="00A6337E"/>
    <w:rsid w:val="00A645F0"/>
    <w:rsid w:val="00A66D25"/>
    <w:rsid w:val="00A72C19"/>
    <w:rsid w:val="00A7394C"/>
    <w:rsid w:val="00A75DB8"/>
    <w:rsid w:val="00A76A8A"/>
    <w:rsid w:val="00A84DDD"/>
    <w:rsid w:val="00A9118E"/>
    <w:rsid w:val="00A93BC3"/>
    <w:rsid w:val="00A9453E"/>
    <w:rsid w:val="00AA02EB"/>
    <w:rsid w:val="00AA2D54"/>
    <w:rsid w:val="00AA356E"/>
    <w:rsid w:val="00AA4711"/>
    <w:rsid w:val="00AA751E"/>
    <w:rsid w:val="00AB797C"/>
    <w:rsid w:val="00AC1824"/>
    <w:rsid w:val="00AC3780"/>
    <w:rsid w:val="00AC6FFE"/>
    <w:rsid w:val="00AD2940"/>
    <w:rsid w:val="00AD4128"/>
    <w:rsid w:val="00AD5A64"/>
    <w:rsid w:val="00AE33AE"/>
    <w:rsid w:val="00AE7897"/>
    <w:rsid w:val="00AE7C35"/>
    <w:rsid w:val="00AF0CFD"/>
    <w:rsid w:val="00AF2DC2"/>
    <w:rsid w:val="00AF52C3"/>
    <w:rsid w:val="00AF6578"/>
    <w:rsid w:val="00AF717A"/>
    <w:rsid w:val="00B05C00"/>
    <w:rsid w:val="00B109A1"/>
    <w:rsid w:val="00B10DAF"/>
    <w:rsid w:val="00B12DD6"/>
    <w:rsid w:val="00B2238E"/>
    <w:rsid w:val="00B31E24"/>
    <w:rsid w:val="00B3272C"/>
    <w:rsid w:val="00B35FF0"/>
    <w:rsid w:val="00B47E5B"/>
    <w:rsid w:val="00B51D02"/>
    <w:rsid w:val="00B53C55"/>
    <w:rsid w:val="00B53EF0"/>
    <w:rsid w:val="00B55796"/>
    <w:rsid w:val="00B6138A"/>
    <w:rsid w:val="00B70AD8"/>
    <w:rsid w:val="00B7105E"/>
    <w:rsid w:val="00B736CD"/>
    <w:rsid w:val="00B738A4"/>
    <w:rsid w:val="00B76A8D"/>
    <w:rsid w:val="00B76CA6"/>
    <w:rsid w:val="00B80A7C"/>
    <w:rsid w:val="00B8551A"/>
    <w:rsid w:val="00B93390"/>
    <w:rsid w:val="00B946C0"/>
    <w:rsid w:val="00BA2518"/>
    <w:rsid w:val="00BA3973"/>
    <w:rsid w:val="00BA7552"/>
    <w:rsid w:val="00BB4A05"/>
    <w:rsid w:val="00BC0F15"/>
    <w:rsid w:val="00BC78D4"/>
    <w:rsid w:val="00BD12FB"/>
    <w:rsid w:val="00BD291F"/>
    <w:rsid w:val="00BD450C"/>
    <w:rsid w:val="00BD4CF9"/>
    <w:rsid w:val="00BD533F"/>
    <w:rsid w:val="00BD59CA"/>
    <w:rsid w:val="00BD5E16"/>
    <w:rsid w:val="00BD6843"/>
    <w:rsid w:val="00BD6911"/>
    <w:rsid w:val="00BD7019"/>
    <w:rsid w:val="00BD781A"/>
    <w:rsid w:val="00BE3403"/>
    <w:rsid w:val="00BE6F95"/>
    <w:rsid w:val="00BE7964"/>
    <w:rsid w:val="00BF02CA"/>
    <w:rsid w:val="00BF2884"/>
    <w:rsid w:val="00BF317E"/>
    <w:rsid w:val="00BF6F9E"/>
    <w:rsid w:val="00C02053"/>
    <w:rsid w:val="00C16D90"/>
    <w:rsid w:val="00C20C35"/>
    <w:rsid w:val="00C3119C"/>
    <w:rsid w:val="00C40ED3"/>
    <w:rsid w:val="00C471DF"/>
    <w:rsid w:val="00C52A07"/>
    <w:rsid w:val="00C53243"/>
    <w:rsid w:val="00C54C48"/>
    <w:rsid w:val="00C55BFB"/>
    <w:rsid w:val="00C61EE0"/>
    <w:rsid w:val="00C62319"/>
    <w:rsid w:val="00C6463C"/>
    <w:rsid w:val="00C65440"/>
    <w:rsid w:val="00C70B05"/>
    <w:rsid w:val="00C71BB3"/>
    <w:rsid w:val="00C72094"/>
    <w:rsid w:val="00C73810"/>
    <w:rsid w:val="00C77D02"/>
    <w:rsid w:val="00C803DA"/>
    <w:rsid w:val="00C8520E"/>
    <w:rsid w:val="00C86AC9"/>
    <w:rsid w:val="00C902A8"/>
    <w:rsid w:val="00C92977"/>
    <w:rsid w:val="00C92A90"/>
    <w:rsid w:val="00C93630"/>
    <w:rsid w:val="00CA46FB"/>
    <w:rsid w:val="00CA5D52"/>
    <w:rsid w:val="00CB450F"/>
    <w:rsid w:val="00CC17FA"/>
    <w:rsid w:val="00CC1E9F"/>
    <w:rsid w:val="00CC3BB9"/>
    <w:rsid w:val="00CC4326"/>
    <w:rsid w:val="00CD22ED"/>
    <w:rsid w:val="00CD2545"/>
    <w:rsid w:val="00CD28F4"/>
    <w:rsid w:val="00CD707A"/>
    <w:rsid w:val="00CD7093"/>
    <w:rsid w:val="00CD7746"/>
    <w:rsid w:val="00CE17E3"/>
    <w:rsid w:val="00CE3697"/>
    <w:rsid w:val="00CE54A7"/>
    <w:rsid w:val="00CE6339"/>
    <w:rsid w:val="00CE684D"/>
    <w:rsid w:val="00CF1E5B"/>
    <w:rsid w:val="00CF73B7"/>
    <w:rsid w:val="00D062A5"/>
    <w:rsid w:val="00D13339"/>
    <w:rsid w:val="00D166FB"/>
    <w:rsid w:val="00D27D59"/>
    <w:rsid w:val="00D31D50"/>
    <w:rsid w:val="00D32B68"/>
    <w:rsid w:val="00D34CE6"/>
    <w:rsid w:val="00D41748"/>
    <w:rsid w:val="00D50505"/>
    <w:rsid w:val="00D51EAA"/>
    <w:rsid w:val="00D5662C"/>
    <w:rsid w:val="00D61812"/>
    <w:rsid w:val="00D6251B"/>
    <w:rsid w:val="00D664E2"/>
    <w:rsid w:val="00D67F06"/>
    <w:rsid w:val="00D72A99"/>
    <w:rsid w:val="00D740BC"/>
    <w:rsid w:val="00D747D3"/>
    <w:rsid w:val="00D76E58"/>
    <w:rsid w:val="00D809C4"/>
    <w:rsid w:val="00D823E9"/>
    <w:rsid w:val="00D82F27"/>
    <w:rsid w:val="00D83DBD"/>
    <w:rsid w:val="00D84E09"/>
    <w:rsid w:val="00D8525E"/>
    <w:rsid w:val="00D90F08"/>
    <w:rsid w:val="00D91B40"/>
    <w:rsid w:val="00D94AB0"/>
    <w:rsid w:val="00D964D4"/>
    <w:rsid w:val="00D9669F"/>
    <w:rsid w:val="00DA0F7A"/>
    <w:rsid w:val="00DA7B61"/>
    <w:rsid w:val="00DB0BC5"/>
    <w:rsid w:val="00DB4FFF"/>
    <w:rsid w:val="00DC083F"/>
    <w:rsid w:val="00DC19BF"/>
    <w:rsid w:val="00DC3FD2"/>
    <w:rsid w:val="00DC6F3B"/>
    <w:rsid w:val="00DC791C"/>
    <w:rsid w:val="00DD0CC2"/>
    <w:rsid w:val="00DD144B"/>
    <w:rsid w:val="00DD161A"/>
    <w:rsid w:val="00DD1776"/>
    <w:rsid w:val="00DD1C6A"/>
    <w:rsid w:val="00DE212D"/>
    <w:rsid w:val="00DE4B69"/>
    <w:rsid w:val="00DE4FFE"/>
    <w:rsid w:val="00DE596E"/>
    <w:rsid w:val="00DE5970"/>
    <w:rsid w:val="00DE6A04"/>
    <w:rsid w:val="00DF58ED"/>
    <w:rsid w:val="00DF7BE9"/>
    <w:rsid w:val="00E00366"/>
    <w:rsid w:val="00E02C79"/>
    <w:rsid w:val="00E03514"/>
    <w:rsid w:val="00E042B7"/>
    <w:rsid w:val="00E0709B"/>
    <w:rsid w:val="00E125D0"/>
    <w:rsid w:val="00E15A1E"/>
    <w:rsid w:val="00E1781E"/>
    <w:rsid w:val="00E226B5"/>
    <w:rsid w:val="00E229BF"/>
    <w:rsid w:val="00E2326F"/>
    <w:rsid w:val="00E2461D"/>
    <w:rsid w:val="00E24B74"/>
    <w:rsid w:val="00E24EB1"/>
    <w:rsid w:val="00E301B1"/>
    <w:rsid w:val="00E32227"/>
    <w:rsid w:val="00E34B30"/>
    <w:rsid w:val="00E37772"/>
    <w:rsid w:val="00E4027D"/>
    <w:rsid w:val="00E404C9"/>
    <w:rsid w:val="00E409EC"/>
    <w:rsid w:val="00E429AE"/>
    <w:rsid w:val="00E45462"/>
    <w:rsid w:val="00E45D2F"/>
    <w:rsid w:val="00E53CCB"/>
    <w:rsid w:val="00E5599D"/>
    <w:rsid w:val="00E625C1"/>
    <w:rsid w:val="00E658A7"/>
    <w:rsid w:val="00E66036"/>
    <w:rsid w:val="00E6627E"/>
    <w:rsid w:val="00E71720"/>
    <w:rsid w:val="00E801A6"/>
    <w:rsid w:val="00E84FBA"/>
    <w:rsid w:val="00E93AC5"/>
    <w:rsid w:val="00E93F51"/>
    <w:rsid w:val="00E95D14"/>
    <w:rsid w:val="00EA2C00"/>
    <w:rsid w:val="00EA7FE3"/>
    <w:rsid w:val="00EB0CA7"/>
    <w:rsid w:val="00EB1FFC"/>
    <w:rsid w:val="00EB2356"/>
    <w:rsid w:val="00EB23B8"/>
    <w:rsid w:val="00EB3A4D"/>
    <w:rsid w:val="00EB4AEF"/>
    <w:rsid w:val="00EB659E"/>
    <w:rsid w:val="00EC5F1E"/>
    <w:rsid w:val="00ED1E02"/>
    <w:rsid w:val="00ED2839"/>
    <w:rsid w:val="00ED33A8"/>
    <w:rsid w:val="00ED3A0D"/>
    <w:rsid w:val="00ED6E85"/>
    <w:rsid w:val="00EE04FC"/>
    <w:rsid w:val="00EE60BF"/>
    <w:rsid w:val="00EF352F"/>
    <w:rsid w:val="00EF427F"/>
    <w:rsid w:val="00EF4973"/>
    <w:rsid w:val="00EF5744"/>
    <w:rsid w:val="00EF649B"/>
    <w:rsid w:val="00EF7082"/>
    <w:rsid w:val="00EF7D85"/>
    <w:rsid w:val="00F0650D"/>
    <w:rsid w:val="00F06FC8"/>
    <w:rsid w:val="00F07240"/>
    <w:rsid w:val="00F1295A"/>
    <w:rsid w:val="00F1621E"/>
    <w:rsid w:val="00F1737D"/>
    <w:rsid w:val="00F20979"/>
    <w:rsid w:val="00F2225F"/>
    <w:rsid w:val="00F247A0"/>
    <w:rsid w:val="00F24DF5"/>
    <w:rsid w:val="00F252F8"/>
    <w:rsid w:val="00F33068"/>
    <w:rsid w:val="00F40D9C"/>
    <w:rsid w:val="00F434BC"/>
    <w:rsid w:val="00F47647"/>
    <w:rsid w:val="00F5148D"/>
    <w:rsid w:val="00F51977"/>
    <w:rsid w:val="00F529B5"/>
    <w:rsid w:val="00F535CB"/>
    <w:rsid w:val="00F57B7B"/>
    <w:rsid w:val="00F60733"/>
    <w:rsid w:val="00F63D80"/>
    <w:rsid w:val="00F647A0"/>
    <w:rsid w:val="00F64944"/>
    <w:rsid w:val="00F65606"/>
    <w:rsid w:val="00F66C70"/>
    <w:rsid w:val="00F702EB"/>
    <w:rsid w:val="00F723D9"/>
    <w:rsid w:val="00F732E1"/>
    <w:rsid w:val="00F75B81"/>
    <w:rsid w:val="00F75E39"/>
    <w:rsid w:val="00F76712"/>
    <w:rsid w:val="00F9004B"/>
    <w:rsid w:val="00F90F7B"/>
    <w:rsid w:val="00F91F34"/>
    <w:rsid w:val="00F92F46"/>
    <w:rsid w:val="00F936B6"/>
    <w:rsid w:val="00FA4257"/>
    <w:rsid w:val="00FA4F38"/>
    <w:rsid w:val="00FA7DCB"/>
    <w:rsid w:val="00FB0B33"/>
    <w:rsid w:val="00FB5000"/>
    <w:rsid w:val="00FB60D3"/>
    <w:rsid w:val="00FC0D21"/>
    <w:rsid w:val="00FC0DF5"/>
    <w:rsid w:val="00FC1B63"/>
    <w:rsid w:val="00FD4AA4"/>
    <w:rsid w:val="00FD7B49"/>
    <w:rsid w:val="00FE00F9"/>
    <w:rsid w:val="00FE3FCA"/>
    <w:rsid w:val="00FE49E8"/>
    <w:rsid w:val="00FE5412"/>
    <w:rsid w:val="0244104A"/>
    <w:rsid w:val="02F319D1"/>
    <w:rsid w:val="048C3056"/>
    <w:rsid w:val="06A734ED"/>
    <w:rsid w:val="078C4A45"/>
    <w:rsid w:val="09183FD8"/>
    <w:rsid w:val="0A4B228E"/>
    <w:rsid w:val="0AED1E94"/>
    <w:rsid w:val="0EA05C41"/>
    <w:rsid w:val="0FF47601"/>
    <w:rsid w:val="140A38CC"/>
    <w:rsid w:val="17E7B2CE"/>
    <w:rsid w:val="1C31474A"/>
    <w:rsid w:val="1F080B8F"/>
    <w:rsid w:val="1F7E4C13"/>
    <w:rsid w:val="1FAC763C"/>
    <w:rsid w:val="20B1764F"/>
    <w:rsid w:val="24BD7B04"/>
    <w:rsid w:val="2B472954"/>
    <w:rsid w:val="2C285AA0"/>
    <w:rsid w:val="348B5781"/>
    <w:rsid w:val="372E18EF"/>
    <w:rsid w:val="383E64EC"/>
    <w:rsid w:val="387500C6"/>
    <w:rsid w:val="396C5641"/>
    <w:rsid w:val="3DC1D899"/>
    <w:rsid w:val="3F7E0EE5"/>
    <w:rsid w:val="401D79A6"/>
    <w:rsid w:val="403B1546"/>
    <w:rsid w:val="4199493D"/>
    <w:rsid w:val="430C6815"/>
    <w:rsid w:val="453D0594"/>
    <w:rsid w:val="490D512B"/>
    <w:rsid w:val="49DE3B6B"/>
    <w:rsid w:val="4B010851"/>
    <w:rsid w:val="4E8FE6BF"/>
    <w:rsid w:val="51D81635"/>
    <w:rsid w:val="538C1942"/>
    <w:rsid w:val="549262E1"/>
    <w:rsid w:val="58CE0EA5"/>
    <w:rsid w:val="5A7E0143"/>
    <w:rsid w:val="5ACB4688"/>
    <w:rsid w:val="5AF865A4"/>
    <w:rsid w:val="5E99556D"/>
    <w:rsid w:val="61C76C69"/>
    <w:rsid w:val="61D32628"/>
    <w:rsid w:val="63CEF002"/>
    <w:rsid w:val="64F5B102"/>
    <w:rsid w:val="65211CCA"/>
    <w:rsid w:val="66D226BA"/>
    <w:rsid w:val="67207544"/>
    <w:rsid w:val="673501D1"/>
    <w:rsid w:val="68F2718B"/>
    <w:rsid w:val="6C413068"/>
    <w:rsid w:val="6D4B1CE7"/>
    <w:rsid w:val="6DDE848B"/>
    <w:rsid w:val="6E5BC3C0"/>
    <w:rsid w:val="6E5E21F0"/>
    <w:rsid w:val="6ED91CC2"/>
    <w:rsid w:val="6EFB0735"/>
    <w:rsid w:val="706C18DA"/>
    <w:rsid w:val="70E877D7"/>
    <w:rsid w:val="71357517"/>
    <w:rsid w:val="72DE10A0"/>
    <w:rsid w:val="74A00563"/>
    <w:rsid w:val="754763C8"/>
    <w:rsid w:val="76DC19C5"/>
    <w:rsid w:val="76EF8BE8"/>
    <w:rsid w:val="77E1EF18"/>
    <w:rsid w:val="77F8A05B"/>
    <w:rsid w:val="77FFF63D"/>
    <w:rsid w:val="79AF56BB"/>
    <w:rsid w:val="7A84746C"/>
    <w:rsid w:val="7AFE9810"/>
    <w:rsid w:val="7B539033"/>
    <w:rsid w:val="7C2B603A"/>
    <w:rsid w:val="7C45ACFB"/>
    <w:rsid w:val="7D2F7F9F"/>
    <w:rsid w:val="7DDE7010"/>
    <w:rsid w:val="7E7F9146"/>
    <w:rsid w:val="7F265CFE"/>
    <w:rsid w:val="7F3E8A6F"/>
    <w:rsid w:val="7FA3173B"/>
    <w:rsid w:val="7FFAFFF5"/>
    <w:rsid w:val="7FFE569A"/>
    <w:rsid w:val="7FFFE3EF"/>
    <w:rsid w:val="975CF861"/>
    <w:rsid w:val="9DB5154F"/>
    <w:rsid w:val="9EFF054B"/>
    <w:rsid w:val="9FFBA63B"/>
    <w:rsid w:val="A5B5D649"/>
    <w:rsid w:val="AFDF3584"/>
    <w:rsid w:val="B1FFF5DD"/>
    <w:rsid w:val="B7BFD484"/>
    <w:rsid w:val="BC6F5D13"/>
    <w:rsid w:val="BDD7851B"/>
    <w:rsid w:val="BFAF7B41"/>
    <w:rsid w:val="BFBB9561"/>
    <w:rsid w:val="DFE48D3D"/>
    <w:rsid w:val="E9B4DAC9"/>
    <w:rsid w:val="EBFF8FAE"/>
    <w:rsid w:val="EDEBCFD3"/>
    <w:rsid w:val="EF5D6619"/>
    <w:rsid w:val="EFBDE3F2"/>
    <w:rsid w:val="EFFD602B"/>
    <w:rsid w:val="F7565DEA"/>
    <w:rsid w:val="FA8D7071"/>
    <w:rsid w:val="FE33664A"/>
    <w:rsid w:val="FE8C7F03"/>
    <w:rsid w:val="FF56A95A"/>
    <w:rsid w:val="FFB75A9C"/>
    <w:rsid w:val="FFFF3ED0"/>
    <w:rsid w:val="FFFFC7D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5">
    <w:name w:val="heading 1"/>
    <w:basedOn w:val="1"/>
    <w:next w:val="1"/>
    <w:qFormat/>
    <w:locked/>
    <w:uiPriority w:val="9"/>
    <w:pPr>
      <w:keepNext/>
      <w:keepLines/>
      <w:spacing w:line="360" w:lineRule="auto"/>
      <w:outlineLvl w:val="0"/>
    </w:pPr>
    <w:rPr>
      <w:b/>
      <w:bCs/>
      <w:kern w:val="44"/>
      <w:sz w:val="30"/>
      <w:szCs w:val="44"/>
    </w:rPr>
  </w:style>
  <w:style w:type="paragraph" w:styleId="6">
    <w:name w:val="heading 3"/>
    <w:basedOn w:val="1"/>
    <w:next w:val="1"/>
    <w:link w:val="29"/>
    <w:semiHidden/>
    <w:unhideWhenUsed/>
    <w:qFormat/>
    <w:locked/>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1"/>
    <w:qFormat/>
    <w:uiPriority w:val="99"/>
    <w:pPr>
      <w:spacing w:after="120"/>
    </w:pPr>
  </w:style>
  <w:style w:type="paragraph" w:customStyle="1" w:styleId="3">
    <w:name w:val="xl27"/>
    <w:basedOn w:val="1"/>
    <w:next w:val="4"/>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color w:val="000000"/>
      <w:sz w:val="20"/>
      <w:szCs w:val="20"/>
    </w:rPr>
  </w:style>
  <w:style w:type="paragraph" w:customStyle="1" w:styleId="4">
    <w:name w:val="A正文"/>
    <w:qFormat/>
    <w:uiPriority w:val="99"/>
    <w:pPr>
      <w:spacing w:line="480" w:lineRule="exact"/>
      <w:ind w:firstLine="480"/>
    </w:pPr>
    <w:rPr>
      <w:rFonts w:ascii="宋体" w:hAnsi="宋体" w:eastAsia="宋体" w:cs="Times New Roman"/>
      <w:sz w:val="24"/>
      <w:szCs w:val="22"/>
      <w:lang w:val="en-US" w:eastAsia="zh-CN" w:bidi="ar-SA"/>
    </w:rPr>
  </w:style>
  <w:style w:type="paragraph" w:styleId="7">
    <w:name w:val="Document Map"/>
    <w:basedOn w:val="1"/>
    <w:link w:val="24"/>
    <w:semiHidden/>
    <w:qFormat/>
    <w:uiPriority w:val="99"/>
    <w:pPr>
      <w:shd w:val="clear" w:color="auto" w:fill="000080"/>
    </w:pPr>
  </w:style>
  <w:style w:type="paragraph" w:styleId="8">
    <w:name w:val="Body Text Indent"/>
    <w:basedOn w:val="1"/>
    <w:link w:val="27"/>
    <w:semiHidden/>
    <w:unhideWhenUsed/>
    <w:qFormat/>
    <w:uiPriority w:val="99"/>
    <w:pPr>
      <w:spacing w:after="120"/>
      <w:ind w:left="420" w:leftChars="200"/>
    </w:pPr>
  </w:style>
  <w:style w:type="paragraph" w:styleId="9">
    <w:name w:val="Balloon Text"/>
    <w:basedOn w:val="1"/>
    <w:link w:val="31"/>
    <w:semiHidden/>
    <w:unhideWhenUsed/>
    <w:qFormat/>
    <w:uiPriority w:val="99"/>
    <w:pPr>
      <w:spacing w:after="0"/>
    </w:pPr>
    <w:rPr>
      <w:sz w:val="18"/>
      <w:szCs w:val="18"/>
    </w:rPr>
  </w:style>
  <w:style w:type="paragraph" w:styleId="10">
    <w:name w:val="footer"/>
    <w:basedOn w:val="1"/>
    <w:link w:val="20"/>
    <w:qFormat/>
    <w:uiPriority w:val="99"/>
    <w:pPr>
      <w:tabs>
        <w:tab w:val="center" w:pos="4153"/>
        <w:tab w:val="right" w:pos="8306"/>
      </w:tabs>
    </w:pPr>
    <w:rPr>
      <w:sz w:val="18"/>
      <w:szCs w:val="18"/>
    </w:rPr>
  </w:style>
  <w:style w:type="paragraph" w:styleId="11">
    <w:name w:val="header"/>
    <w:basedOn w:val="1"/>
    <w:link w:val="19"/>
    <w:semiHidden/>
    <w:qFormat/>
    <w:uiPriority w:val="99"/>
    <w:pPr>
      <w:pBdr>
        <w:bottom w:val="single" w:color="auto" w:sz="6" w:space="1"/>
      </w:pBdr>
      <w:tabs>
        <w:tab w:val="center" w:pos="4153"/>
        <w:tab w:val="right" w:pos="8306"/>
      </w:tabs>
      <w:jc w:val="center"/>
    </w:pPr>
    <w:rPr>
      <w:sz w:val="18"/>
      <w:szCs w:val="18"/>
    </w:rPr>
  </w:style>
  <w:style w:type="paragraph" w:styleId="12">
    <w:name w:val="toc 2"/>
    <w:basedOn w:val="1"/>
    <w:next w:val="1"/>
    <w:unhideWhenUsed/>
    <w:qFormat/>
    <w:locked/>
    <w:uiPriority w:val="0"/>
    <w:pPr>
      <w:ind w:left="420" w:leftChars="200"/>
    </w:pPr>
  </w:style>
  <w:style w:type="paragraph" w:styleId="13">
    <w:name w:val="Normal (Web)"/>
    <w:basedOn w:val="1"/>
    <w:qFormat/>
    <w:uiPriority w:val="0"/>
    <w:pPr>
      <w:adjustRightInd/>
      <w:snapToGrid/>
      <w:spacing w:before="100" w:beforeAutospacing="1" w:after="100" w:afterAutospacing="1"/>
    </w:pPr>
    <w:rPr>
      <w:rFonts w:ascii="宋体" w:hAnsi="宋体" w:eastAsia="宋体"/>
      <w:sz w:val="24"/>
      <w:szCs w:val="24"/>
    </w:rPr>
  </w:style>
  <w:style w:type="paragraph" w:styleId="14">
    <w:name w:val="Title"/>
    <w:basedOn w:val="1"/>
    <w:next w:val="1"/>
    <w:link w:val="23"/>
    <w:qFormat/>
    <w:uiPriority w:val="99"/>
    <w:pPr>
      <w:spacing w:before="240" w:after="60"/>
      <w:jc w:val="center"/>
      <w:outlineLvl w:val="0"/>
    </w:pPr>
    <w:rPr>
      <w:rFonts w:ascii="Cambria" w:hAnsi="Cambria" w:eastAsia="宋体"/>
      <w:b/>
      <w:bCs/>
      <w:sz w:val="32"/>
      <w:szCs w:val="32"/>
    </w:rPr>
  </w:style>
  <w:style w:type="paragraph" w:styleId="15">
    <w:name w:val="Body Text First Indent"/>
    <w:basedOn w:val="2"/>
    <w:link w:val="22"/>
    <w:qFormat/>
    <w:uiPriority w:val="99"/>
    <w:pPr>
      <w:widowControl w:val="0"/>
      <w:adjustRightInd/>
      <w:snapToGrid/>
      <w:ind w:firstLine="420" w:firstLineChars="100"/>
      <w:jc w:val="both"/>
    </w:pPr>
    <w:rPr>
      <w:rFonts w:ascii="Times New Roman" w:hAnsi="Times New Roman" w:eastAsia="宋体"/>
      <w:kern w:val="2"/>
      <w:sz w:val="21"/>
      <w:szCs w:val="24"/>
    </w:rPr>
  </w:style>
  <w:style w:type="paragraph" w:styleId="16">
    <w:name w:val="Body Text First Indent 2"/>
    <w:basedOn w:val="8"/>
    <w:link w:val="28"/>
    <w:semiHidden/>
    <w:unhideWhenUsed/>
    <w:qFormat/>
    <w:uiPriority w:val="99"/>
    <w:pPr>
      <w:ind w:firstLine="420" w:firstLineChars="200"/>
    </w:pPr>
  </w:style>
  <w:style w:type="character" w:customStyle="1" w:styleId="19">
    <w:name w:val="页眉 字符"/>
    <w:basedOn w:val="18"/>
    <w:link w:val="11"/>
    <w:semiHidden/>
    <w:qFormat/>
    <w:locked/>
    <w:uiPriority w:val="99"/>
    <w:rPr>
      <w:rFonts w:ascii="Tahoma" w:hAnsi="Tahoma" w:cs="Times New Roman"/>
      <w:sz w:val="18"/>
      <w:szCs w:val="18"/>
    </w:rPr>
  </w:style>
  <w:style w:type="character" w:customStyle="1" w:styleId="20">
    <w:name w:val="页脚 字符"/>
    <w:basedOn w:val="18"/>
    <w:link w:val="10"/>
    <w:qFormat/>
    <w:locked/>
    <w:uiPriority w:val="99"/>
    <w:rPr>
      <w:rFonts w:ascii="Tahoma" w:hAnsi="Tahoma" w:cs="Times New Roman"/>
      <w:sz w:val="18"/>
      <w:szCs w:val="18"/>
    </w:rPr>
  </w:style>
  <w:style w:type="character" w:customStyle="1" w:styleId="21">
    <w:name w:val="正文文本 字符"/>
    <w:basedOn w:val="18"/>
    <w:link w:val="2"/>
    <w:qFormat/>
    <w:locked/>
    <w:uiPriority w:val="99"/>
    <w:rPr>
      <w:rFonts w:ascii="Tahoma" w:hAnsi="Tahoma" w:cs="Times New Roman"/>
    </w:rPr>
  </w:style>
  <w:style w:type="character" w:customStyle="1" w:styleId="22">
    <w:name w:val="正文文本首行缩进 字符"/>
    <w:basedOn w:val="21"/>
    <w:link w:val="15"/>
    <w:qFormat/>
    <w:locked/>
    <w:uiPriority w:val="99"/>
    <w:rPr>
      <w:rFonts w:ascii="Times New Roman" w:hAnsi="Times New Roman" w:eastAsia="宋体" w:cs="Times New Roman"/>
      <w:kern w:val="2"/>
      <w:sz w:val="24"/>
      <w:szCs w:val="24"/>
    </w:rPr>
  </w:style>
  <w:style w:type="character" w:customStyle="1" w:styleId="23">
    <w:name w:val="标题 字符"/>
    <w:basedOn w:val="18"/>
    <w:link w:val="14"/>
    <w:qFormat/>
    <w:locked/>
    <w:uiPriority w:val="99"/>
    <w:rPr>
      <w:rFonts w:ascii="Cambria" w:hAnsi="Cambria" w:eastAsia="宋体" w:cs="Times New Roman"/>
      <w:b/>
      <w:bCs/>
      <w:sz w:val="32"/>
      <w:szCs w:val="32"/>
    </w:rPr>
  </w:style>
  <w:style w:type="character" w:customStyle="1" w:styleId="24">
    <w:name w:val="文档结构图 字符"/>
    <w:basedOn w:val="18"/>
    <w:link w:val="7"/>
    <w:semiHidden/>
    <w:qFormat/>
    <w:locked/>
    <w:uiPriority w:val="99"/>
    <w:rPr>
      <w:rFonts w:ascii="Times New Roman" w:hAnsi="Times New Roman" w:cs="Times New Roman"/>
      <w:kern w:val="0"/>
      <w:sz w:val="2"/>
    </w:rPr>
  </w:style>
  <w:style w:type="paragraph" w:customStyle="1" w:styleId="25">
    <w:name w:val="reader-word-layer reader-word-s1-5"/>
    <w:basedOn w:val="1"/>
    <w:qFormat/>
    <w:uiPriority w:val="99"/>
    <w:pPr>
      <w:adjustRightInd/>
      <w:snapToGrid/>
      <w:spacing w:before="100" w:beforeAutospacing="1" w:after="100" w:afterAutospacing="1"/>
    </w:pPr>
    <w:rPr>
      <w:rFonts w:ascii="宋体" w:hAnsi="宋体" w:eastAsia="宋体" w:cs="宋体"/>
      <w:sz w:val="24"/>
      <w:szCs w:val="24"/>
    </w:rPr>
  </w:style>
  <w:style w:type="paragraph" w:customStyle="1" w:styleId="26">
    <w:name w:val="reader-word-layer reader-word-s1-8"/>
    <w:basedOn w:val="1"/>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27">
    <w:name w:val="正文文本缩进 字符"/>
    <w:basedOn w:val="18"/>
    <w:link w:val="8"/>
    <w:semiHidden/>
    <w:qFormat/>
    <w:uiPriority w:val="99"/>
    <w:rPr>
      <w:rFonts w:ascii="Tahoma" w:hAnsi="Tahoma"/>
      <w:sz w:val="22"/>
      <w:szCs w:val="22"/>
    </w:rPr>
  </w:style>
  <w:style w:type="character" w:customStyle="1" w:styleId="28">
    <w:name w:val="正文文本首行缩进 2 字符"/>
    <w:basedOn w:val="27"/>
    <w:link w:val="16"/>
    <w:semiHidden/>
    <w:qFormat/>
    <w:uiPriority w:val="99"/>
    <w:rPr>
      <w:rFonts w:ascii="Tahoma" w:hAnsi="Tahoma"/>
      <w:sz w:val="22"/>
      <w:szCs w:val="22"/>
    </w:rPr>
  </w:style>
  <w:style w:type="character" w:customStyle="1" w:styleId="29">
    <w:name w:val="标题 3 字符"/>
    <w:basedOn w:val="18"/>
    <w:link w:val="6"/>
    <w:semiHidden/>
    <w:qFormat/>
    <w:uiPriority w:val="0"/>
    <w:rPr>
      <w:rFonts w:ascii="Tahoma" w:hAnsi="Tahoma"/>
      <w:b/>
      <w:bCs/>
      <w:sz w:val="32"/>
      <w:szCs w:val="32"/>
    </w:rPr>
  </w:style>
  <w:style w:type="paragraph" w:styleId="30">
    <w:name w:val="List Paragraph"/>
    <w:basedOn w:val="1"/>
    <w:unhideWhenUsed/>
    <w:qFormat/>
    <w:uiPriority w:val="99"/>
    <w:pPr>
      <w:ind w:firstLine="420" w:firstLineChars="200"/>
    </w:pPr>
  </w:style>
  <w:style w:type="character" w:customStyle="1" w:styleId="31">
    <w:name w:val="批注框文本 字符"/>
    <w:basedOn w:val="18"/>
    <w:link w:val="9"/>
    <w:semiHidden/>
    <w:qFormat/>
    <w:uiPriority w:val="99"/>
    <w:rPr>
      <w:rFonts w:ascii="Tahoma" w:hAnsi="Tahoma"/>
      <w:sz w:val="18"/>
      <w:szCs w:val="18"/>
    </w:rPr>
  </w:style>
  <w:style w:type="character" w:customStyle="1" w:styleId="32">
    <w:name w:val="fontstyle01"/>
    <w:qFormat/>
    <w:uiPriority w:val="0"/>
    <w:rPr>
      <w:rFonts w:hint="eastAsia" w:ascii="宋体" w:hAnsi="宋体" w:eastAsia="宋体"/>
      <w:color w:val="000000"/>
      <w:sz w:val="24"/>
      <w:szCs w:val="24"/>
    </w:rPr>
  </w:style>
  <w:style w:type="paragraph" w:customStyle="1" w:styleId="33">
    <w:name w:val="修订1"/>
    <w:hidden/>
    <w:semiHidden/>
    <w:qFormat/>
    <w:uiPriority w:val="99"/>
    <w:rPr>
      <w:rFonts w:ascii="Tahoma" w:hAnsi="Tahoma" w:eastAsia="微软雅黑" w:cs="Times New Roman"/>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2809</Words>
  <Characters>2959</Characters>
  <Lines>14</Lines>
  <Paragraphs>4</Paragraphs>
  <TotalTime>2</TotalTime>
  <ScaleCrop>false</ScaleCrop>
  <LinksUpToDate>false</LinksUpToDate>
  <CharactersWithSpaces>2959</CharactersWithSpaces>
  <Application>WPS Office_11.1.0.11757_F1E327BC-269C-435d-A152-05C5408002CA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2024-03-21T19:24:00Z</dcterms:created>
  <dc:creator>Administrator</dc:creator>
  <cp:lastModifiedBy>昊不昊啊？</cp:lastModifiedBy>
  <cp:lastPrinted>2025-05-31T19:29:00Z</cp:lastPrinted>
  <dcterms:modified xsi:type="dcterms:W3CDTF">2026-08-26T07:35:04Z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2052-11.1.0.11757</vt:lpwstr>
  </property>
  <property fmtid="{D5CDD505-2E9C-101B-9397-08002B2CF9AE}" pid="3" name="ICV">
    <vt:lpwstr>1DB408C19AF749D1A019917A33F8A8C1</vt:lpwstr>
  </property>
  <property fmtid="{D5CDD505-2E9C-101B-9397-08002B2CF9AE}" pid="4" name="KSOTemplateDocerSaveRecord">
    <vt:lpwstr>eyJoZGlkIjoiOWNkYWU5MjFlZmE3NjNlYjU5MDk0ODhjNTlmYjVkNjQifQ==</vt:lpwstr>
  </property>
</Properties>
</file>