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160" w:line="560" w:lineRule="exact"/>
        <w:jc w:val="right"/>
        <w:rPr>
          <w:rFonts w:ascii="仿宋_GB2312" w:eastAsia="仿宋_GB2312"/>
          <w:b/>
          <w:bCs/>
          <w:spacing w:val="-20"/>
          <w:sz w:val="44"/>
        </w:rPr>
      </w:pPr>
      <w:bookmarkStart w:id="2" w:name="_GoBack"/>
      <w:bookmarkEnd w:id="2"/>
      <w:r>
        <w:rPr>
          <w:rFonts w:hint="eastAsia" w:ascii="仿宋_GB2312" w:eastAsia="仿宋_GB2312"/>
          <w:sz w:val="32"/>
        </w:rPr>
        <w:t>常环建〔</w:t>
      </w:r>
      <w:r>
        <w:rPr>
          <w:rFonts w:ascii="仿宋_GB2312" w:eastAsia="仿宋_GB2312"/>
          <w:sz w:val="32"/>
        </w:rPr>
        <w:t>202</w:t>
      </w:r>
      <w:r>
        <w:rPr>
          <w:rFonts w:hint="eastAsia" w:ascii="仿宋_GB2312" w:eastAsia="仿宋_GB2312"/>
          <w:sz w:val="32"/>
        </w:rPr>
        <w:t>6〕</w:t>
      </w:r>
      <w:r>
        <w:rPr>
          <w:rFonts w:hint="eastAsia" w:ascii="仿宋_GB2312" w:eastAsia="仿宋_GB2312"/>
          <w:sz w:val="32"/>
          <w:lang w:val="en-US" w:eastAsia="zh-CN"/>
        </w:rPr>
        <w:t>34</w:t>
      </w:r>
      <w:r>
        <w:rPr>
          <w:rFonts w:hint="eastAsia" w:ascii="仿宋_GB2312" w:eastAsia="仿宋_GB2312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常德市生态环境局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bookmarkStart w:id="0" w:name="_Hlk232346149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常德市芙蓉实业发展有限责任公司烟用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爆珠</w:t>
      </w:r>
      <w:r>
        <w:rPr>
          <w:rFonts w:hint="eastAsia" w:ascii="方正小标宋简体" w:eastAsia="方正小标宋简体"/>
          <w:sz w:val="44"/>
          <w:szCs w:val="44"/>
        </w:rPr>
        <w:t>项目环境影响报告</w:t>
      </w:r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表</w:t>
      </w:r>
      <w:r>
        <w:rPr>
          <w:rFonts w:hint="eastAsia" w:ascii="方正小标宋简体" w:eastAsia="方正小标宋简体"/>
          <w:sz w:val="44"/>
          <w:szCs w:val="44"/>
        </w:rPr>
        <w:t>的批复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常德市芙蓉实业发展有限责任公司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你单位《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常德市芙蓉实业发展有限责任公司烟用爆珠</w:t>
      </w:r>
      <w:r>
        <w:rPr>
          <w:rFonts w:hint="eastAsia" w:ascii="仿宋_GB2312" w:hAnsi="仿宋" w:eastAsia="仿宋_GB2312" w:cs="仿宋"/>
          <w:sz w:val="32"/>
          <w:szCs w:val="32"/>
        </w:rPr>
        <w:t>项目环境影响报告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表</w:t>
      </w:r>
      <w:r>
        <w:rPr>
          <w:rFonts w:hint="eastAsia" w:ascii="仿宋_GB2312" w:hAnsi="仿宋" w:eastAsia="仿宋_GB2312" w:cs="仿宋"/>
          <w:sz w:val="32"/>
          <w:szCs w:val="32"/>
        </w:rPr>
        <w:t>》(以下简称《报告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表</w:t>
      </w:r>
      <w:r>
        <w:rPr>
          <w:rFonts w:hint="eastAsia" w:ascii="仿宋_GB2312" w:hAnsi="仿宋" w:eastAsia="仿宋_GB2312" w:cs="仿宋"/>
          <w:sz w:val="32"/>
          <w:szCs w:val="32"/>
        </w:rPr>
        <w:t>》)及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《关于申请对&lt;常德市芙蓉实业发展有限责任公司烟用爆珠</w:t>
      </w:r>
      <w:r>
        <w:rPr>
          <w:rFonts w:hint="eastAsia" w:ascii="仿宋_GB2312" w:hAnsi="仿宋" w:eastAsia="仿宋_GB2312" w:cs="仿宋"/>
          <w:sz w:val="32"/>
          <w:szCs w:val="32"/>
        </w:rPr>
        <w:t>项目环境影响报告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表&gt;进行审批的请示》</w:t>
      </w:r>
      <w:r>
        <w:rPr>
          <w:rFonts w:hint="eastAsia" w:ascii="仿宋_GB2312" w:hAnsi="仿宋" w:eastAsia="仿宋_GB2312" w:cs="仿宋"/>
          <w:sz w:val="32"/>
          <w:szCs w:val="32"/>
        </w:rPr>
        <w:t>及相关资料收悉，根据《报告表》专家审查意见、常德市生态环境局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武陵</w:t>
      </w:r>
      <w:r>
        <w:rPr>
          <w:rFonts w:hint="eastAsia" w:ascii="仿宋_GB2312" w:hAnsi="仿宋" w:eastAsia="仿宋_GB2312" w:cs="仿宋"/>
          <w:sz w:val="32"/>
          <w:szCs w:val="32"/>
        </w:rPr>
        <w:t>分局对《报告表》的预审意见、《报告表》网上公示期间未收到反馈意见的情况。经研究，批复如下：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一、</w:t>
      </w:r>
      <w:r>
        <w:rPr>
          <w:rFonts w:hint="eastAsia" w:ascii="仿宋_GB2312" w:hAnsi="仿宋" w:eastAsia="仿宋_GB2312" w:cs="仿宋"/>
          <w:sz w:val="32"/>
          <w:szCs w:val="32"/>
        </w:rPr>
        <w:t>该项目位于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湖南省常德市武陵区洞庭大道1999号</w:t>
      </w:r>
      <w:r>
        <w:rPr>
          <w:rFonts w:hint="eastAsia" w:ascii="仿宋_GB2312" w:hAnsi="仿宋" w:eastAsia="仿宋_GB2312" w:cs="仿宋"/>
          <w:sz w:val="32"/>
          <w:szCs w:val="32"/>
        </w:rPr>
        <w:t>，中心坐标为东经111 度 39 分 51.310 秒，北纬29 度 2 分 30.997 秒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项目</w:t>
      </w:r>
      <w:r>
        <w:rPr>
          <w:rFonts w:hint="eastAsia" w:ascii="仿宋_GB2312" w:hAnsi="仿宋" w:eastAsia="仿宋_GB2312" w:cs="仿宋"/>
          <w:sz w:val="32"/>
          <w:szCs w:val="32"/>
        </w:rPr>
        <w:t>总占地面积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1070</w:t>
      </w:r>
      <w:r>
        <w:rPr>
          <w:rFonts w:ascii="仿宋_GB2312" w:hAnsi="仿宋" w:eastAsia="仿宋_GB2312" w:cs="仿宋"/>
          <w:sz w:val="32"/>
          <w:szCs w:val="32"/>
        </w:rPr>
        <w:t>m</w:t>
      </w:r>
      <w:r>
        <w:rPr>
          <w:rFonts w:ascii="仿宋_GB2312" w:hAnsi="仿宋" w:eastAsia="仿宋_GB2312" w:cs="仿宋"/>
          <w:sz w:val="32"/>
          <w:szCs w:val="32"/>
          <w:vertAlign w:val="superscript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，总建筑面积1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070</w:t>
      </w:r>
      <w:r>
        <w:rPr>
          <w:rFonts w:hint="eastAsia" w:ascii="仿宋_GB2312" w:hAnsi="仿宋" w:eastAsia="仿宋_GB2312" w:cs="仿宋"/>
          <w:sz w:val="32"/>
          <w:szCs w:val="32"/>
        </w:rPr>
        <w:t>m</w:t>
      </w:r>
      <w:r>
        <w:rPr>
          <w:rFonts w:hint="eastAsia" w:ascii="仿宋_GB2312" w:hAnsi="仿宋" w:eastAsia="仿宋_GB2312" w:cs="仿宋"/>
          <w:sz w:val="32"/>
          <w:szCs w:val="32"/>
          <w:vertAlign w:val="superscript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年产烟用爆珠100t,</w:t>
      </w:r>
      <w:r>
        <w:rPr>
          <w:rFonts w:hint="eastAsia" w:ascii="仿宋_GB2312" w:hAnsi="仿宋" w:eastAsia="仿宋_GB2312" w:cs="仿宋"/>
          <w:sz w:val="32"/>
          <w:szCs w:val="32"/>
        </w:rPr>
        <w:t>主要建设烟用爆珠操作间，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主要生产设备包括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滴丸机、化胶供料一体机 、洗丸机、溜丸机等。项目总投资950万元，其中环保投资70万元，占总投资的7.37%。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根据《报告表》结论、专家评审意见、常德市生态环境局武陵分局对《报告表》出具的预审意见，以及相关行政主管部门的意见，该项目符合国家产业政策及相关规划要求。你单位在严格落实《报告表》及批复提出的各项生态环境保护和污染防治措施、环境风险防治措施，确保环保设施正常运行、污染物达标排放和风险可控的前提下，从生态环境保护角度我局原则同意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项目在设计、建设和运营管理过程中，必须全面落实《报告表》提出的各项污染防治措施并着重做好如下工作：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</w:t>
      </w:r>
      <w:r>
        <w:rPr>
          <w:rFonts w:hint="eastAsia" w:ascii="仿宋_GB2312" w:hAnsi="仿宋" w:eastAsia="仿宋_GB2312" w:cs="仿宋"/>
          <w:sz w:val="32"/>
          <w:szCs w:val="32"/>
          <w:lang w:val="zh-TW" w:eastAsia="zh-TW"/>
        </w:rPr>
        <w:t>严格落实水污染防治措施</w:t>
      </w:r>
      <w:r>
        <w:rPr>
          <w:rFonts w:hint="eastAsia" w:ascii="仿宋_GB2312" w:hAnsi="仿宋" w:eastAsia="仿宋_GB2312" w:cs="仿宋"/>
          <w:sz w:val="32"/>
          <w:szCs w:val="32"/>
          <w:lang w:val="zh-TW" w:eastAsia="zh-CN"/>
        </w:rPr>
        <w:t>。按照雨污分流、清污分流、污污分流的原则建设给排水、污水处理系统。生产废水经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油水分离设备处理</w:t>
      </w:r>
      <w:r>
        <w:rPr>
          <w:rFonts w:hint="eastAsia" w:ascii="仿宋_GB2312" w:hAnsi="仿宋" w:eastAsia="仿宋_GB2312" w:cs="仿宋"/>
          <w:sz w:val="32"/>
          <w:szCs w:val="32"/>
          <w:lang w:val="zh-TW" w:eastAsia="zh-CN"/>
        </w:rPr>
        <w:t>后，进入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厂区自建的2100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zh-TW" w:eastAsia="zh-CN" w:bidi="ar-SA"/>
          <w14:textFill>
            <w14:solidFill>
              <w14:schemeClr w14:val="tx1"/>
            </w14:solidFill>
          </w14:textFill>
        </w:rPr>
        <w:t>/d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污水处理站，经“水解酸化＋接触氧化＋BAF”工艺处理</w:t>
      </w:r>
      <w:r>
        <w:rPr>
          <w:rFonts w:hint="eastAsia" w:ascii="仿宋_GB2312" w:hAnsi="仿宋" w:eastAsia="仿宋_GB2312" w:cs="仿宋"/>
          <w:sz w:val="32"/>
          <w:szCs w:val="32"/>
          <w:lang w:val="zh-TW" w:eastAsia="zh-CN"/>
        </w:rPr>
        <w:t>后，排入市政污水管网，最终汇入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柳叶湖</w:t>
      </w:r>
      <w:r>
        <w:rPr>
          <w:rFonts w:hint="eastAsia" w:ascii="仿宋_GB2312" w:hAnsi="仿宋" w:eastAsia="仿宋_GB2312" w:cs="仿宋"/>
          <w:sz w:val="32"/>
          <w:szCs w:val="32"/>
          <w:lang w:val="zh-TW" w:eastAsia="zh-CN"/>
        </w:rPr>
        <w:t>污水处理厂进一步处理后达标排放。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废水排入污水管网须从严执行《污水综合排放标准》（GB8978—1996）三级标准及柳叶湖污水处理厂进水水质要求。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（二）严格落实大气污染防治措施。加强各工段废气收集处理，</w:t>
      </w:r>
      <w:r>
        <w:rPr>
          <w:rFonts w:hint="eastAsia" w:ascii="仿宋_GB2312" w:hAnsi="仿宋" w:eastAsia="仿宋_GB2312" w:cs="仿宋"/>
          <w:sz w:val="32"/>
          <w:szCs w:val="32"/>
        </w:rPr>
        <w:t>减少无组织废气排放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投料废气通过对进料口设置集气罩，连接移动式收尘器处理后车间内无组织排放。配置、干燥废气经车间密闭负压收集后，再经两级活性炭吸附处理后通过15米高排气筒（DA003）排放。</w:t>
      </w:r>
      <w:r>
        <w:rPr>
          <w:rFonts w:hint="eastAsia" w:ascii="仿宋_GB2312" w:hAnsi="仿宋_GB2312" w:eastAsia="仿宋_GB2312" w:cs="仿宋_GB2312"/>
          <w:sz w:val="32"/>
          <w:szCs w:val="32"/>
        </w:rPr>
        <w:t>活性炭按照《报告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》明确的周期及时更换</w:t>
      </w:r>
      <w:r>
        <w:rPr>
          <w:rFonts w:ascii="Times New Roman" w:hAnsi="Times New Roman" w:eastAsia="仿宋_GB2312"/>
          <w:bCs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有组织排放非甲烷总烃执行《大气污染物综合排放标准》（GB16297-1996）标准限值，厂区无组织排放非甲烷总烃执行《挥发性有机物无组织排放控制标准》（GB37822-2019）排放限值，厂界无组织排放颗粒物、非甲烷总烃执行《大气污染物综合排放标准》（GB16297-1996）相应限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4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仿宋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加强噪声污染防治。优选生产设备，对各噪声设备采取基础减振、隔声、消声等降噪措施，加强对生产设备的定期检查和维修保养，保持其良好的运行状况，确保营运期厂界北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</w:t>
      </w:r>
      <w:r>
        <w:rPr>
          <w:rFonts w:hint="eastAsia" w:ascii="仿宋_GB2312" w:eastAsia="仿宋_GB2312"/>
          <w:sz w:val="32"/>
          <w:szCs w:val="32"/>
        </w:rPr>
        <w:t>、西面噪声排放不超过《工业企业厂界环境噪声排放标准》（GB12348-2008）中4类标准限值，东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</w:t>
      </w:r>
      <w:r>
        <w:rPr>
          <w:rFonts w:hint="eastAsia" w:ascii="仿宋_GB2312" w:eastAsia="仿宋_GB2312"/>
          <w:sz w:val="32"/>
          <w:szCs w:val="32"/>
        </w:rPr>
        <w:t>、南面噪声排放不超过《工业企业厂界环境噪声排放标准》（GB12348-2008）中3类标准限值。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四）加强固体废物污染防治。规范设置危废暂存间和一般固废暂存场所，严格分类分区贮存，其建设、运行和管理应相应分别满足《危险废物贮存污染控制标准》（GB18597-2023）、《一般工业固体废物贮存和填埋污染控制标准》（GB18599-2020）要求，防止二次污染。危险废物分类收集暂存于危废暂存间中，定期委托有资质的单位处置，同时建立危险废物转移联单制度并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（五）加强环境风险防范。加强安全生产，制定突发环境事件应急预案，建立运行情况记录制度和各类台账。落实污染源自行监测计划及落实分区防渗措施，防止地下水和土壤环境污染，有效防范风险事故发生。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四、依据《报告表》，该项目主要污染物排放总量指标：化学需氧量0.0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吨/年、氨氮 0.003吨/年、V0Cs0.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076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吨/年。项目所需购买总量指标应由常德市排污权交易中心进行交易并确认。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zh-TW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zh-TW" w:eastAsia="zh-CN" w:bidi="ar-SA"/>
        </w:rPr>
        <w:t>、《报告表》经批准后，建设项目的性质、规模、地点、采用的生产工艺或者防治污染、防止生态破坏的措施发生重大变动的，应重新向我局报批环境影响评价文件；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或自批准之日起超过五年，方决定建设项目开工建设的，其环境影响评价文件应报我局重新审核。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zh-TW" w:eastAsia="zh-CN" w:bidi="ar-SA"/>
        </w:rPr>
        <w:t>项目在实际排污之前须完善排污许可相关手续，并严格按规定程序实施竣工环境保护验收。本项目建设、运行依法需要其他行政许可的，你单位应按规定及时办理并取得其他行政许可。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zh-TW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zh-TW" w:eastAsia="zh-CN" w:bidi="ar-SA"/>
        </w:rPr>
        <w:t>该项目的“三同时”监督检查及日常环境管理工作按属地管理原则由常德市生态环境局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武陵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zh-TW" w:eastAsia="zh-CN" w:bidi="ar-SA"/>
        </w:rPr>
        <w:t>分局具体负责。你单位应在收到本批复后的5个工作日内，将批准后的《报告表》及本批复送至常德市生态环境局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武陵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zh-TW" w:eastAsia="zh-CN" w:bidi="ar-SA"/>
        </w:rPr>
        <w:t>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4480" w:firstLineChars="1400"/>
        <w:jc w:val="righ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right="1046" w:rightChars="498" w:firstLine="4480" w:firstLineChars="1400"/>
        <w:jc w:val="righ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常德市生态环境局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5248" w:firstLineChars="1640"/>
        <w:textAlignment w:val="auto"/>
      </w:pPr>
      <w:r>
        <w:rPr>
          <w:rFonts w:hint="eastAsia" w:ascii="仿宋_GB2312" w:hAnsi="仿宋" w:eastAsia="仿宋_GB2312" w:cs="仿宋"/>
          <w:sz w:val="32"/>
          <w:szCs w:val="32"/>
        </w:rPr>
        <w:t>2026年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pStyle w:val="4"/>
      </w:pPr>
    </w:p>
    <w:p>
      <w:pPr>
        <w:pStyle w:val="4"/>
      </w:pPr>
    </w:p>
    <w:p/>
    <w:p/>
    <w:p/>
    <w:p/>
    <w:p/>
    <w:p/>
    <w:p/>
    <w:p/>
    <w:p>
      <w:pPr>
        <w:pBdr>
          <w:top w:val="single" w:color="auto" w:sz="4" w:space="1"/>
          <w:bottom w:val="single" w:color="auto" w:sz="4" w:space="1"/>
        </w:pBdr>
        <w:spacing w:line="440" w:lineRule="exact"/>
        <w:rPr>
          <w:rFonts w:ascii="仿宋_GB2312" w:eastAsia="仿宋_GB2312"/>
          <w:sz w:val="28"/>
          <w:szCs w:val="28"/>
        </w:rPr>
      </w:pPr>
      <w:bookmarkStart w:id="1" w:name="_Hlk129270905"/>
      <w:r>
        <w:rPr>
          <w:rFonts w:hint="eastAsia" w:ascii="仿宋_GB2312" w:hAnsi="黑体" w:eastAsia="仿宋_GB2312"/>
          <w:sz w:val="28"/>
          <w:szCs w:val="28"/>
        </w:rPr>
        <w:t>抄送：</w:t>
      </w:r>
      <w:r>
        <w:rPr>
          <w:rFonts w:hint="eastAsia" w:ascii="仿宋_GB2312" w:eastAsia="仿宋_GB2312"/>
          <w:sz w:val="28"/>
          <w:szCs w:val="28"/>
        </w:rPr>
        <w:t>常德市生态环境局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武陵</w:t>
      </w:r>
      <w:r>
        <w:rPr>
          <w:rFonts w:hint="eastAsia" w:ascii="仿宋_GB2312" w:eastAsia="仿宋_GB2312"/>
          <w:sz w:val="28"/>
          <w:szCs w:val="28"/>
        </w:rPr>
        <w:t>分局、</w:t>
      </w:r>
      <w:bookmarkEnd w:id="1"/>
      <w:r>
        <w:rPr>
          <w:rFonts w:hint="eastAsia" w:ascii="仿宋_GB2312" w:eastAsia="仿宋_GB2312"/>
          <w:sz w:val="28"/>
          <w:szCs w:val="28"/>
          <w:lang w:val="en-US" w:eastAsia="zh-CN"/>
        </w:rPr>
        <w:t>湖南志远环境咨询服务</w:t>
      </w:r>
      <w:r>
        <w:rPr>
          <w:rFonts w:hint="eastAsia" w:ascii="仿宋_GB2312" w:eastAsia="仿宋_GB2312"/>
          <w:sz w:val="28"/>
          <w:szCs w:val="28"/>
        </w:rPr>
        <w:t>有限公司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701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3E08AEA-8782-474B-B2C3-61DA1486DA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1417F4-FEE6-4788-AC1E-076FDCB201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07288CA-15BA-4987-8771-78F4880E64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0EA39C9-3BC7-4DEB-BBE3-8118B9E53B49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0FD1861-E55A-401D-9E03-4AD8ABE7FD2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73AD2F80-4632-4603-A510-6CB16587B3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5"/>
        <w:rFonts w:hint="eastAsia" w:ascii="宋体" w:hAnsi="宋体"/>
        <w:sz w:val="24"/>
        <w:szCs w:val="24"/>
      </w:rPr>
    </w:pPr>
    <w:r>
      <w:rPr>
        <w:rStyle w:val="15"/>
        <w:rFonts w:ascii="宋体" w:hAnsi="宋体"/>
        <w:sz w:val="24"/>
        <w:szCs w:val="24"/>
      </w:rPr>
      <w:fldChar w:fldCharType="begin"/>
    </w:r>
    <w:r>
      <w:rPr>
        <w:rStyle w:val="15"/>
        <w:rFonts w:ascii="宋体" w:hAnsi="宋体"/>
        <w:sz w:val="24"/>
        <w:szCs w:val="24"/>
      </w:rPr>
      <w:instrText xml:space="preserve">PAGE  </w:instrText>
    </w:r>
    <w:r>
      <w:rPr>
        <w:rStyle w:val="15"/>
        <w:rFonts w:ascii="宋体" w:hAnsi="宋体"/>
        <w:sz w:val="24"/>
        <w:szCs w:val="24"/>
      </w:rPr>
      <w:fldChar w:fldCharType="separate"/>
    </w:r>
    <w:r>
      <w:rPr>
        <w:rStyle w:val="15"/>
        <w:rFonts w:ascii="宋体" w:hAnsi="宋体"/>
        <w:sz w:val="24"/>
        <w:szCs w:val="24"/>
      </w:rPr>
      <w:t>- 6 -</w:t>
    </w:r>
    <w:r>
      <w:rPr>
        <w:rStyle w:val="15"/>
        <w:rFonts w:ascii="宋体" w:hAnsi="宋体"/>
        <w:sz w:val="24"/>
        <w:szCs w:val="24"/>
      </w:rPr>
      <w:fldChar w:fldCharType="end"/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32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A8"/>
    <w:rsid w:val="000001AE"/>
    <w:rsid w:val="000165DE"/>
    <w:rsid w:val="00041300"/>
    <w:rsid w:val="00046911"/>
    <w:rsid w:val="00066C72"/>
    <w:rsid w:val="000A07AC"/>
    <w:rsid w:val="000A55E6"/>
    <w:rsid w:val="000A748B"/>
    <w:rsid w:val="000A7A06"/>
    <w:rsid w:val="000B2500"/>
    <w:rsid w:val="000B4A38"/>
    <w:rsid w:val="000B4A46"/>
    <w:rsid w:val="000B6B06"/>
    <w:rsid w:val="000D0554"/>
    <w:rsid w:val="000D2520"/>
    <w:rsid w:val="000D4D9A"/>
    <w:rsid w:val="00117CA8"/>
    <w:rsid w:val="00122E70"/>
    <w:rsid w:val="00130400"/>
    <w:rsid w:val="001832DD"/>
    <w:rsid w:val="001850C3"/>
    <w:rsid w:val="00190F19"/>
    <w:rsid w:val="001A5753"/>
    <w:rsid w:val="001A5AA5"/>
    <w:rsid w:val="001A5F6B"/>
    <w:rsid w:val="001A70E1"/>
    <w:rsid w:val="001B21D9"/>
    <w:rsid w:val="001D1E4B"/>
    <w:rsid w:val="001F035F"/>
    <w:rsid w:val="002115C1"/>
    <w:rsid w:val="00213814"/>
    <w:rsid w:val="00214DE7"/>
    <w:rsid w:val="00227B7B"/>
    <w:rsid w:val="002507F8"/>
    <w:rsid w:val="00251890"/>
    <w:rsid w:val="00264A80"/>
    <w:rsid w:val="002668DC"/>
    <w:rsid w:val="00284916"/>
    <w:rsid w:val="002A294C"/>
    <w:rsid w:val="002A6F84"/>
    <w:rsid w:val="002B1973"/>
    <w:rsid w:val="002B1D5E"/>
    <w:rsid w:val="002B3105"/>
    <w:rsid w:val="002C078D"/>
    <w:rsid w:val="002D077A"/>
    <w:rsid w:val="002D4DE6"/>
    <w:rsid w:val="002F1570"/>
    <w:rsid w:val="002F4147"/>
    <w:rsid w:val="002F5A3E"/>
    <w:rsid w:val="003061CF"/>
    <w:rsid w:val="003360F0"/>
    <w:rsid w:val="0036629C"/>
    <w:rsid w:val="00374833"/>
    <w:rsid w:val="0037513E"/>
    <w:rsid w:val="003853E5"/>
    <w:rsid w:val="00385D30"/>
    <w:rsid w:val="00385E49"/>
    <w:rsid w:val="00387C5E"/>
    <w:rsid w:val="003A2D06"/>
    <w:rsid w:val="003B2CE0"/>
    <w:rsid w:val="003B2E73"/>
    <w:rsid w:val="003B30FC"/>
    <w:rsid w:val="003C07EB"/>
    <w:rsid w:val="003D2BC1"/>
    <w:rsid w:val="003E678C"/>
    <w:rsid w:val="003F34CB"/>
    <w:rsid w:val="003F688F"/>
    <w:rsid w:val="004052D8"/>
    <w:rsid w:val="0041121D"/>
    <w:rsid w:val="0041278E"/>
    <w:rsid w:val="004341D5"/>
    <w:rsid w:val="00455AA4"/>
    <w:rsid w:val="004633BA"/>
    <w:rsid w:val="00473C98"/>
    <w:rsid w:val="004754B2"/>
    <w:rsid w:val="00481B05"/>
    <w:rsid w:val="004A169C"/>
    <w:rsid w:val="004A621D"/>
    <w:rsid w:val="004C75E1"/>
    <w:rsid w:val="00501C68"/>
    <w:rsid w:val="005138B7"/>
    <w:rsid w:val="00520716"/>
    <w:rsid w:val="00520CEA"/>
    <w:rsid w:val="00522889"/>
    <w:rsid w:val="00524198"/>
    <w:rsid w:val="005400AD"/>
    <w:rsid w:val="00561631"/>
    <w:rsid w:val="00573FE2"/>
    <w:rsid w:val="00575EBA"/>
    <w:rsid w:val="00577CB4"/>
    <w:rsid w:val="005818E2"/>
    <w:rsid w:val="00583A6C"/>
    <w:rsid w:val="005B74ED"/>
    <w:rsid w:val="005D1F18"/>
    <w:rsid w:val="005D51F6"/>
    <w:rsid w:val="005D5855"/>
    <w:rsid w:val="005E50FD"/>
    <w:rsid w:val="005F6EFE"/>
    <w:rsid w:val="00625309"/>
    <w:rsid w:val="006258AD"/>
    <w:rsid w:val="00626B08"/>
    <w:rsid w:val="00627C24"/>
    <w:rsid w:val="0063238E"/>
    <w:rsid w:val="00633769"/>
    <w:rsid w:val="00633863"/>
    <w:rsid w:val="0066177D"/>
    <w:rsid w:val="006636E6"/>
    <w:rsid w:val="00671E03"/>
    <w:rsid w:val="00672EA8"/>
    <w:rsid w:val="00684BE3"/>
    <w:rsid w:val="0069125A"/>
    <w:rsid w:val="006928F1"/>
    <w:rsid w:val="0069453E"/>
    <w:rsid w:val="006951EF"/>
    <w:rsid w:val="0069770E"/>
    <w:rsid w:val="006A18A8"/>
    <w:rsid w:val="006A4109"/>
    <w:rsid w:val="006A7E5E"/>
    <w:rsid w:val="006C1E25"/>
    <w:rsid w:val="006F34C9"/>
    <w:rsid w:val="006F43ED"/>
    <w:rsid w:val="006F4D1C"/>
    <w:rsid w:val="007005B6"/>
    <w:rsid w:val="007242FF"/>
    <w:rsid w:val="00734689"/>
    <w:rsid w:val="007576A1"/>
    <w:rsid w:val="00766A53"/>
    <w:rsid w:val="00797034"/>
    <w:rsid w:val="007A2895"/>
    <w:rsid w:val="007B1047"/>
    <w:rsid w:val="007E5068"/>
    <w:rsid w:val="007F545D"/>
    <w:rsid w:val="008164A5"/>
    <w:rsid w:val="0081697D"/>
    <w:rsid w:val="008764B9"/>
    <w:rsid w:val="00877524"/>
    <w:rsid w:val="00884F0E"/>
    <w:rsid w:val="00886039"/>
    <w:rsid w:val="00887F7E"/>
    <w:rsid w:val="00895286"/>
    <w:rsid w:val="008B768B"/>
    <w:rsid w:val="008C1713"/>
    <w:rsid w:val="008C6FC3"/>
    <w:rsid w:val="008D289E"/>
    <w:rsid w:val="00901411"/>
    <w:rsid w:val="0090153B"/>
    <w:rsid w:val="009020ED"/>
    <w:rsid w:val="00906FAC"/>
    <w:rsid w:val="00910D0E"/>
    <w:rsid w:val="00911BE7"/>
    <w:rsid w:val="00922A7B"/>
    <w:rsid w:val="00931E47"/>
    <w:rsid w:val="00933943"/>
    <w:rsid w:val="00943648"/>
    <w:rsid w:val="009450A7"/>
    <w:rsid w:val="00947A46"/>
    <w:rsid w:val="00947E7A"/>
    <w:rsid w:val="00954923"/>
    <w:rsid w:val="009673D2"/>
    <w:rsid w:val="009835CD"/>
    <w:rsid w:val="0098596A"/>
    <w:rsid w:val="009939B2"/>
    <w:rsid w:val="0099442B"/>
    <w:rsid w:val="009A5CB1"/>
    <w:rsid w:val="009C25CC"/>
    <w:rsid w:val="009C44CD"/>
    <w:rsid w:val="009D0D63"/>
    <w:rsid w:val="009E266F"/>
    <w:rsid w:val="009E72B5"/>
    <w:rsid w:val="009F3477"/>
    <w:rsid w:val="00A00F23"/>
    <w:rsid w:val="00A144FA"/>
    <w:rsid w:val="00A20861"/>
    <w:rsid w:val="00A210A4"/>
    <w:rsid w:val="00A23A19"/>
    <w:rsid w:val="00A267AB"/>
    <w:rsid w:val="00A32000"/>
    <w:rsid w:val="00A36956"/>
    <w:rsid w:val="00A36DFA"/>
    <w:rsid w:val="00A503F4"/>
    <w:rsid w:val="00A708CC"/>
    <w:rsid w:val="00A76572"/>
    <w:rsid w:val="00AE28AF"/>
    <w:rsid w:val="00AE56EF"/>
    <w:rsid w:val="00B00FAA"/>
    <w:rsid w:val="00B110FA"/>
    <w:rsid w:val="00B20CE2"/>
    <w:rsid w:val="00B2592C"/>
    <w:rsid w:val="00B27AF5"/>
    <w:rsid w:val="00B31973"/>
    <w:rsid w:val="00B334B6"/>
    <w:rsid w:val="00B479B7"/>
    <w:rsid w:val="00B61D9F"/>
    <w:rsid w:val="00B77E17"/>
    <w:rsid w:val="00B84D8E"/>
    <w:rsid w:val="00BC0A70"/>
    <w:rsid w:val="00BE110E"/>
    <w:rsid w:val="00C2190F"/>
    <w:rsid w:val="00C25E77"/>
    <w:rsid w:val="00C44A2B"/>
    <w:rsid w:val="00C456EF"/>
    <w:rsid w:val="00C64F65"/>
    <w:rsid w:val="00C658AA"/>
    <w:rsid w:val="00C7116E"/>
    <w:rsid w:val="00CB7C82"/>
    <w:rsid w:val="00CD3F56"/>
    <w:rsid w:val="00CE6479"/>
    <w:rsid w:val="00D027A6"/>
    <w:rsid w:val="00D0668F"/>
    <w:rsid w:val="00D355F2"/>
    <w:rsid w:val="00D367DC"/>
    <w:rsid w:val="00D43ACD"/>
    <w:rsid w:val="00D44001"/>
    <w:rsid w:val="00D53516"/>
    <w:rsid w:val="00D6682F"/>
    <w:rsid w:val="00D67688"/>
    <w:rsid w:val="00D75F6C"/>
    <w:rsid w:val="00D7618C"/>
    <w:rsid w:val="00DD4BE5"/>
    <w:rsid w:val="00E006AA"/>
    <w:rsid w:val="00E020AC"/>
    <w:rsid w:val="00E02F07"/>
    <w:rsid w:val="00E1175E"/>
    <w:rsid w:val="00E2320D"/>
    <w:rsid w:val="00E3048F"/>
    <w:rsid w:val="00E3376C"/>
    <w:rsid w:val="00E337CD"/>
    <w:rsid w:val="00E446A4"/>
    <w:rsid w:val="00E4731A"/>
    <w:rsid w:val="00E532E1"/>
    <w:rsid w:val="00E54C6A"/>
    <w:rsid w:val="00E6775F"/>
    <w:rsid w:val="00E712DB"/>
    <w:rsid w:val="00E91935"/>
    <w:rsid w:val="00EA4170"/>
    <w:rsid w:val="00EA76B2"/>
    <w:rsid w:val="00F05A1E"/>
    <w:rsid w:val="00F15497"/>
    <w:rsid w:val="00F21DCF"/>
    <w:rsid w:val="00F24A3E"/>
    <w:rsid w:val="00F77070"/>
    <w:rsid w:val="00F962BE"/>
    <w:rsid w:val="00FA5D02"/>
    <w:rsid w:val="00FB35DE"/>
    <w:rsid w:val="00FB6C1F"/>
    <w:rsid w:val="00FD2DFC"/>
    <w:rsid w:val="00FD4311"/>
    <w:rsid w:val="07076E8F"/>
    <w:rsid w:val="12FF1B92"/>
    <w:rsid w:val="1E3C740E"/>
    <w:rsid w:val="298F51A7"/>
    <w:rsid w:val="2CBB3F3C"/>
    <w:rsid w:val="439A0C6F"/>
    <w:rsid w:val="46DD18E6"/>
    <w:rsid w:val="5B7545B1"/>
    <w:rsid w:val="6F8B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Calibri" w:hAnsi="Calibri"/>
      <w:szCs w:val="20"/>
    </w:rPr>
  </w:style>
  <w:style w:type="paragraph" w:styleId="4">
    <w:name w:val="Body Text"/>
    <w:basedOn w:val="1"/>
    <w:next w:val="5"/>
    <w:link w:val="18"/>
    <w:semiHidden/>
    <w:unhideWhenUsed/>
    <w:qFormat/>
    <w:uiPriority w:val="99"/>
    <w:pPr>
      <w:spacing w:after="120"/>
    </w:pPr>
  </w:style>
  <w:style w:type="paragraph" w:customStyle="1" w:styleId="5">
    <w:name w:val="xl27"/>
    <w:basedOn w:val="2"/>
    <w:next w:val="6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0"/>
      <w:szCs w:val="20"/>
    </w:rPr>
  </w:style>
  <w:style w:type="paragraph" w:customStyle="1" w:styleId="6">
    <w:name w:val="A正文"/>
    <w:qFormat/>
    <w:uiPriority w:val="99"/>
    <w:pPr>
      <w:spacing w:line="480" w:lineRule="exact"/>
      <w:ind w:firstLine="480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paragraph" w:styleId="7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next w:val="4"/>
    <w:link w:val="22"/>
    <w:qFormat/>
    <w:uiPriority w:val="0"/>
    <w:pPr>
      <w:spacing w:after="120" w:line="480" w:lineRule="auto"/>
    </w:pPr>
  </w:style>
  <w:style w:type="paragraph" w:styleId="11">
    <w:name w:val="Body Text First Indent"/>
    <w:basedOn w:val="1"/>
    <w:next w:val="1"/>
    <w:link w:val="19"/>
    <w:qFormat/>
    <w:uiPriority w:val="0"/>
    <w:pPr>
      <w:ind w:firstLine="420" w:firstLineChars="100"/>
    </w:pPr>
  </w:style>
  <w:style w:type="paragraph" w:styleId="12">
    <w:name w:val="Body Text First Indent 2"/>
    <w:basedOn w:val="7"/>
    <w:next w:val="1"/>
    <w:link w:val="17"/>
    <w:qFormat/>
    <w:uiPriority w:val="0"/>
    <w:pPr>
      <w:ind w:firstLine="420" w:firstLineChars="200"/>
    </w:pPr>
  </w:style>
  <w:style w:type="character" w:styleId="15">
    <w:name w:val="page number"/>
    <w:qFormat/>
    <w:uiPriority w:val="0"/>
  </w:style>
  <w:style w:type="character" w:customStyle="1" w:styleId="16">
    <w:name w:val="正文文本缩进 字符"/>
    <w:basedOn w:val="14"/>
    <w:link w:val="7"/>
    <w:semiHidden/>
    <w:qFormat/>
    <w:uiPriority w:val="99"/>
    <w:rPr>
      <w:rFonts w:ascii="Times New Roman" w:hAnsi="Times New Roman" w:eastAsia="宋体" w:cs="Times New Roman"/>
      <w:sz w:val="21"/>
      <w:szCs w:val="24"/>
    </w:rPr>
  </w:style>
  <w:style w:type="character" w:customStyle="1" w:styleId="17">
    <w:name w:val="正文文本首行缩进 2 字符"/>
    <w:basedOn w:val="16"/>
    <w:link w:val="12"/>
    <w:qFormat/>
    <w:uiPriority w:val="0"/>
    <w:rPr>
      <w:rFonts w:ascii="Times New Roman" w:hAnsi="Times New Roman" w:eastAsia="宋体" w:cs="Times New Roman"/>
      <w:sz w:val="21"/>
      <w:szCs w:val="24"/>
    </w:rPr>
  </w:style>
  <w:style w:type="character" w:customStyle="1" w:styleId="18">
    <w:name w:val="正文文本 字符"/>
    <w:basedOn w:val="14"/>
    <w:link w:val="4"/>
    <w:semiHidden/>
    <w:qFormat/>
    <w:uiPriority w:val="99"/>
    <w:rPr>
      <w:rFonts w:ascii="Times New Roman" w:hAnsi="Times New Roman" w:eastAsia="宋体" w:cs="Times New Roman"/>
      <w:sz w:val="21"/>
      <w:szCs w:val="24"/>
    </w:rPr>
  </w:style>
  <w:style w:type="character" w:customStyle="1" w:styleId="19">
    <w:name w:val="正文文本首行缩进 字符"/>
    <w:basedOn w:val="18"/>
    <w:link w:val="11"/>
    <w:qFormat/>
    <w:uiPriority w:val="0"/>
    <w:rPr>
      <w:rFonts w:ascii="Times New Roman" w:hAnsi="Times New Roman" w:eastAsia="宋体" w:cs="Times New Roman"/>
      <w:sz w:val="21"/>
      <w:szCs w:val="24"/>
    </w:rPr>
  </w:style>
  <w:style w:type="character" w:customStyle="1" w:styleId="20">
    <w:name w:val="页脚 字符"/>
    <w:basedOn w:val="14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字符"/>
    <w:basedOn w:val="14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正文文本 2 字符"/>
    <w:basedOn w:val="14"/>
    <w:link w:val="10"/>
    <w:qFormat/>
    <w:uiPriority w:val="0"/>
    <w:rPr>
      <w:rFonts w:ascii="Times New Roman" w:hAnsi="Times New Roman" w:eastAsia="宋体" w:cs="Times New Roman"/>
      <w:sz w:val="21"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NormalCharacter"/>
    <w:semiHidden/>
    <w:qFormat/>
    <w:uiPriority w:val="0"/>
    <w:rPr>
      <w:rFonts w:ascii="等线" w:hAnsi="等线" w:eastAsia="仿宋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1840</Words>
  <Characters>2000</Characters>
  <Lines>23</Lines>
  <Paragraphs>6</Paragraphs>
  <TotalTime>164</TotalTime>
  <ScaleCrop>false</ScaleCrop>
  <LinksUpToDate>false</LinksUpToDate>
  <CharactersWithSpaces>2012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2024-01-22T10:29:00Z</dcterms:created>
  <dc:creator>admin</dc:creator>
  <cp:lastModifiedBy>昊不昊啊？</cp:lastModifiedBy>
  <cp:lastPrinted>2026-06-25T10:40:00Z</cp:lastPrinted>
  <dcterms:modified xsi:type="dcterms:W3CDTF">2026-07-20T09:05:52Z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eyJoZGlkIjoiMjdjODFhMDIzOWJhNmU0OGNjZTQ1NTdhYTE4ZjBjZDgiLCJ1c2VySWQiOiIyNzA0MDE4ODkifQ==</vt:lpwstr>
  </property>
  <property fmtid="{D5CDD505-2E9C-101B-9397-08002B2CF9AE}" pid="3" name="KSOProductBuildVer">
    <vt:lpwstr>2052-11.1.0.11757</vt:lpwstr>
  </property>
  <property fmtid="{D5CDD505-2E9C-101B-9397-08002B2CF9AE}" pid="4" name="ICV">
    <vt:lpwstr>11737C24F6024F26B703297268D5D224</vt:lpwstr>
  </property>
</Properties>
</file>