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1160" w:after="0" w:line="560" w:lineRule="exact"/>
        <w:jc w:val="right"/>
        <w:rPr>
          <w:rFonts w:ascii="仿宋_GB2312" w:eastAsia="仿宋_GB2312"/>
          <w:color w:val="auto"/>
        </w:rPr>
      </w:pPr>
      <w:bookmarkStart w:id="0" w:name="_GoBack"/>
      <w:bookmarkEnd w:id="0"/>
      <w:r>
        <w:rPr>
          <w:rFonts w:hint="eastAsia" w:ascii="仿宋_GB2312" w:hAnsi="仿宋" w:eastAsia="仿宋_GB2312"/>
          <w:color w:val="auto"/>
          <w:sz w:val="32"/>
          <w:szCs w:val="32"/>
        </w:rPr>
        <w:t>常环建〔202</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w:t>
      </w:r>
      <w:r>
        <w:rPr>
          <w:rFonts w:hint="default" w:ascii="仿宋_GB2312" w:hAnsi="仿宋" w:eastAsia="仿宋_GB2312"/>
          <w:color w:val="auto"/>
          <w:sz w:val="32"/>
          <w:szCs w:val="32"/>
          <w:lang w:val="en-US"/>
        </w:rPr>
        <w:t>33</w:t>
      </w:r>
      <w:r>
        <w:rPr>
          <w:rFonts w:hint="eastAsia" w:ascii="仿宋_GB2312" w:hAnsi="仿宋" w:eastAsia="仿宋_GB2312"/>
          <w:color w:val="auto"/>
          <w:sz w:val="32"/>
          <w:szCs w:val="32"/>
        </w:rPr>
        <w:t>号</w:t>
      </w:r>
    </w:p>
    <w:p>
      <w:pPr>
        <w:tabs>
          <w:tab w:val="left" w:pos="1021"/>
        </w:tabs>
        <w:spacing w:after="0" w:line="560" w:lineRule="exact"/>
        <w:jc w:val="center"/>
        <w:rPr>
          <w:rFonts w:hint="eastAsia" w:ascii="方正小标宋简体" w:eastAsia="方正小标宋简体" w:hAnsiTheme="majorEastAsia"/>
          <w:color w:val="auto"/>
          <w:sz w:val="44"/>
          <w:szCs w:val="44"/>
        </w:rPr>
      </w:pPr>
    </w:p>
    <w:p>
      <w:pPr>
        <w:tabs>
          <w:tab w:val="left" w:pos="1021"/>
        </w:tabs>
        <w:spacing w:after="0" w:line="560" w:lineRule="exact"/>
        <w:jc w:val="center"/>
        <w:rPr>
          <w:rFonts w:hint="eastAsia" w:ascii="方正小标宋简体" w:eastAsia="方正小标宋简体" w:hAnsiTheme="majorEastAsia"/>
          <w:color w:val="auto"/>
          <w:sz w:val="44"/>
          <w:szCs w:val="44"/>
        </w:rPr>
      </w:pPr>
      <w:r>
        <w:rPr>
          <w:rFonts w:hint="eastAsia" w:ascii="方正小标宋简体" w:eastAsia="方正小标宋简体" w:hAnsiTheme="majorEastAsia"/>
          <w:color w:val="auto"/>
          <w:sz w:val="44"/>
          <w:szCs w:val="44"/>
        </w:rPr>
        <w:t>常德市生态环境局</w:t>
      </w:r>
    </w:p>
    <w:p>
      <w:pPr>
        <w:tabs>
          <w:tab w:val="left" w:pos="1021"/>
        </w:tabs>
        <w:spacing w:after="0" w:line="560" w:lineRule="exact"/>
        <w:jc w:val="center"/>
        <w:rPr>
          <w:rFonts w:hint="eastAsia" w:ascii="方正小标宋简体" w:eastAsia="方正小标宋简体" w:hAnsiTheme="majorEastAsia"/>
          <w:color w:val="auto"/>
          <w:sz w:val="44"/>
          <w:szCs w:val="44"/>
          <w:lang w:eastAsia="zh-CN"/>
        </w:rPr>
      </w:pPr>
      <w:r>
        <w:rPr>
          <w:rFonts w:hint="eastAsia" w:ascii="方正小标宋简体" w:eastAsia="方正小标宋简体" w:hAnsiTheme="majorEastAsia"/>
          <w:color w:val="auto"/>
          <w:sz w:val="44"/>
          <w:szCs w:val="44"/>
        </w:rPr>
        <w:t>关于</w:t>
      </w:r>
      <w:r>
        <w:rPr>
          <w:rFonts w:hint="eastAsia" w:ascii="方正小标宋简体" w:eastAsia="方正小标宋简体" w:hAnsiTheme="majorEastAsia"/>
          <w:color w:val="auto"/>
          <w:sz w:val="44"/>
          <w:szCs w:val="44"/>
          <w:lang w:eastAsia="zh-CN"/>
        </w:rPr>
        <w:t>湖南响箭重工科技股份有限公司</w:t>
      </w:r>
    </w:p>
    <w:p>
      <w:pPr>
        <w:tabs>
          <w:tab w:val="left" w:pos="1021"/>
        </w:tabs>
        <w:spacing w:after="0" w:line="560" w:lineRule="exact"/>
        <w:jc w:val="center"/>
        <w:rPr>
          <w:rFonts w:hint="eastAsia" w:ascii="方正小标宋简体" w:eastAsia="方正小标宋简体" w:hAnsiTheme="majorEastAsia"/>
          <w:color w:val="auto"/>
          <w:sz w:val="44"/>
          <w:szCs w:val="44"/>
          <w:lang w:val="en-US" w:eastAsia="zh-CN"/>
        </w:rPr>
      </w:pPr>
      <w:r>
        <w:rPr>
          <w:rFonts w:hint="eastAsia" w:ascii="方正小标宋简体" w:eastAsia="方正小标宋简体" w:hAnsiTheme="majorEastAsia"/>
          <w:color w:val="auto"/>
          <w:sz w:val="44"/>
          <w:szCs w:val="44"/>
          <w:lang w:eastAsia="zh-CN"/>
        </w:rPr>
        <w:t>精密结构件智能制造基地建设</w:t>
      </w:r>
      <w:r>
        <w:rPr>
          <w:rFonts w:hint="eastAsia" w:ascii="方正小标宋简体" w:eastAsia="方正小标宋简体" w:hAnsiTheme="majorEastAsia"/>
          <w:color w:val="auto"/>
          <w:sz w:val="44"/>
          <w:szCs w:val="44"/>
          <w:lang w:val="en-US" w:eastAsia="zh-CN"/>
        </w:rPr>
        <w:t>项目</w:t>
      </w:r>
    </w:p>
    <w:p>
      <w:pPr>
        <w:tabs>
          <w:tab w:val="left" w:pos="1021"/>
        </w:tabs>
        <w:spacing w:after="0" w:line="560" w:lineRule="exact"/>
        <w:jc w:val="center"/>
        <w:rPr>
          <w:rFonts w:hint="eastAsia" w:ascii="方正小标宋简体" w:eastAsia="方正小标宋简体" w:hAnsiTheme="majorEastAsia"/>
          <w:color w:val="auto"/>
          <w:sz w:val="44"/>
          <w:szCs w:val="44"/>
        </w:rPr>
      </w:pPr>
      <w:r>
        <w:rPr>
          <w:rFonts w:hint="eastAsia" w:ascii="方正小标宋简体" w:eastAsia="方正小标宋简体" w:hAnsiTheme="majorEastAsia"/>
          <w:color w:val="auto"/>
          <w:sz w:val="44"/>
          <w:szCs w:val="44"/>
        </w:rPr>
        <w:t>环境影响报告</w:t>
      </w:r>
      <w:r>
        <w:rPr>
          <w:rFonts w:hint="eastAsia" w:ascii="方正小标宋简体" w:eastAsia="方正小标宋简体" w:hAnsiTheme="majorEastAsia"/>
          <w:color w:val="auto"/>
          <w:sz w:val="44"/>
          <w:szCs w:val="44"/>
          <w:lang w:eastAsia="zh-CN"/>
        </w:rPr>
        <w:t>书</w:t>
      </w:r>
      <w:r>
        <w:rPr>
          <w:rFonts w:hint="eastAsia" w:ascii="方正小标宋简体" w:eastAsia="方正小标宋简体" w:hAnsiTheme="majorEastAsia"/>
          <w:color w:val="auto"/>
          <w:sz w:val="44"/>
          <w:szCs w:val="44"/>
        </w:rPr>
        <w:t>的批复</w:t>
      </w:r>
    </w:p>
    <w:p>
      <w:pPr>
        <w:spacing w:after="0" w:line="560" w:lineRule="exact"/>
        <w:jc w:val="both"/>
        <w:rPr>
          <w:rFonts w:hint="eastAsia" w:ascii="仿宋" w:hAnsi="仿宋" w:eastAsia="仿宋"/>
          <w:color w:val="auto"/>
          <w:kern w:val="2"/>
          <w:sz w:val="32"/>
          <w:szCs w:val="32"/>
        </w:rPr>
      </w:pPr>
    </w:p>
    <w:p>
      <w:pPr>
        <w:widowControl w:val="0"/>
        <w:spacing w:after="0" w:line="560" w:lineRule="exact"/>
        <w:jc w:val="both"/>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湖南响箭重工科技股份有限公司</w:t>
      </w:r>
      <w:r>
        <w:rPr>
          <w:rFonts w:hint="eastAsia" w:ascii="仿宋_GB2312" w:hAnsi="仿宋" w:eastAsia="仿宋_GB2312"/>
          <w:color w:val="auto"/>
          <w:sz w:val="32"/>
          <w:szCs w:val="32"/>
        </w:rPr>
        <w:t>：</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rPr>
        <w:t>你公司提交的《</w:t>
      </w:r>
      <w:r>
        <w:rPr>
          <w:rFonts w:hint="eastAsia" w:ascii="仿宋_GB2312" w:hAnsi="仿宋" w:eastAsia="仿宋_GB2312"/>
          <w:color w:val="auto"/>
          <w:kern w:val="2"/>
          <w:sz w:val="32"/>
          <w:szCs w:val="32"/>
          <w:lang w:eastAsia="zh-CN"/>
        </w:rPr>
        <w:t>精密结构件智能制造基地建设项目</w:t>
      </w:r>
      <w:r>
        <w:rPr>
          <w:rFonts w:hint="eastAsia" w:ascii="仿宋_GB2312" w:hAnsi="仿宋" w:eastAsia="仿宋_GB2312"/>
          <w:color w:val="auto"/>
          <w:kern w:val="2"/>
          <w:sz w:val="32"/>
          <w:szCs w:val="32"/>
        </w:rPr>
        <w:t>环境影响报告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》（以下简称“报告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”）和《关于申请对〈</w:t>
      </w:r>
      <w:r>
        <w:rPr>
          <w:rFonts w:hint="eastAsia" w:ascii="仿宋_GB2312" w:hAnsi="仿宋" w:eastAsia="仿宋_GB2312"/>
          <w:color w:val="auto"/>
          <w:kern w:val="2"/>
          <w:sz w:val="32"/>
          <w:szCs w:val="32"/>
          <w:lang w:eastAsia="zh-CN"/>
        </w:rPr>
        <w:t>精密结构件智能制造基地建设项目</w:t>
      </w:r>
      <w:r>
        <w:rPr>
          <w:rFonts w:hint="eastAsia" w:ascii="仿宋_GB2312" w:hAnsi="仿宋" w:eastAsia="仿宋_GB2312"/>
          <w:color w:val="auto"/>
          <w:kern w:val="2"/>
          <w:sz w:val="32"/>
          <w:szCs w:val="32"/>
        </w:rPr>
        <w:t>环境影响报告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〉进行审批的请示》及相关资料收悉，根据《报告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》专家审查意见、常德市生态环境局</w:t>
      </w:r>
      <w:r>
        <w:rPr>
          <w:rFonts w:hint="eastAsia" w:ascii="仿宋_GB2312" w:hAnsi="仿宋" w:eastAsia="仿宋_GB2312"/>
          <w:color w:val="auto"/>
          <w:kern w:val="2"/>
          <w:sz w:val="32"/>
          <w:szCs w:val="32"/>
          <w:lang w:eastAsia="zh-CN"/>
        </w:rPr>
        <w:t>鼎城</w:t>
      </w:r>
      <w:r>
        <w:rPr>
          <w:rFonts w:hint="eastAsia" w:ascii="仿宋_GB2312" w:hAnsi="仿宋" w:eastAsia="仿宋_GB2312"/>
          <w:color w:val="auto"/>
          <w:kern w:val="2"/>
          <w:sz w:val="32"/>
          <w:szCs w:val="32"/>
        </w:rPr>
        <w:t>分局对《报告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》的预审意见、</w:t>
      </w:r>
      <w:r>
        <w:rPr>
          <w:rFonts w:hint="eastAsia" w:ascii="仿宋_GB2312" w:hAnsi="仿宋" w:eastAsia="仿宋_GB2312"/>
          <w:color w:val="auto"/>
          <w:kern w:val="2"/>
          <w:sz w:val="32"/>
          <w:szCs w:val="32"/>
          <w:lang w:eastAsia="zh-CN"/>
        </w:rPr>
        <w:t>常德高新技术产业开发区产业发展局</w:t>
      </w:r>
      <w:r>
        <w:rPr>
          <w:rFonts w:hint="eastAsia" w:ascii="仿宋_GB2312" w:hAnsi="仿宋" w:eastAsia="仿宋_GB2312"/>
          <w:color w:val="auto"/>
          <w:kern w:val="2"/>
          <w:sz w:val="32"/>
          <w:szCs w:val="32"/>
        </w:rPr>
        <w:t>出具的</w:t>
      </w:r>
      <w:r>
        <w:rPr>
          <w:rFonts w:hint="eastAsia" w:ascii="仿宋_GB2312" w:hAnsi="仿宋" w:eastAsia="仿宋_GB2312"/>
          <w:color w:val="auto"/>
          <w:kern w:val="2"/>
          <w:sz w:val="32"/>
          <w:szCs w:val="32"/>
          <w:lang w:eastAsia="zh-CN"/>
        </w:rPr>
        <w:t>备案证明</w:t>
      </w: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eastAsia="zh-CN"/>
        </w:rPr>
        <w:t>项目编码</w:t>
      </w:r>
      <w:r>
        <w:rPr>
          <w:rFonts w:hint="eastAsia" w:ascii="仿宋_GB2312" w:hAnsi="仿宋" w:eastAsia="仿宋_GB2312"/>
          <w:color w:val="auto"/>
          <w:kern w:val="2"/>
          <w:sz w:val="32"/>
          <w:szCs w:val="32"/>
        </w:rPr>
        <w:t>：2</w:t>
      </w:r>
      <w:r>
        <w:rPr>
          <w:rFonts w:hint="eastAsia" w:ascii="仿宋_GB2312" w:hAnsi="仿宋" w:eastAsia="仿宋_GB2312"/>
          <w:color w:val="auto"/>
          <w:kern w:val="2"/>
          <w:sz w:val="32"/>
          <w:szCs w:val="32"/>
          <w:lang w:val="en-US" w:eastAsia="zh-CN"/>
        </w:rPr>
        <w:t>6</w:t>
      </w:r>
      <w:r>
        <w:rPr>
          <w:rFonts w:hint="eastAsia" w:ascii="仿宋_GB2312" w:hAnsi="仿宋" w:eastAsia="仿宋_GB2312"/>
          <w:color w:val="auto"/>
          <w:kern w:val="2"/>
          <w:sz w:val="32"/>
          <w:szCs w:val="32"/>
        </w:rPr>
        <w:t>0</w:t>
      </w:r>
      <w:r>
        <w:rPr>
          <w:rFonts w:hint="eastAsia" w:ascii="仿宋_GB2312" w:hAnsi="仿宋" w:eastAsia="仿宋_GB2312"/>
          <w:color w:val="auto"/>
          <w:kern w:val="2"/>
          <w:sz w:val="32"/>
          <w:szCs w:val="32"/>
          <w:lang w:val="en-US" w:eastAsia="zh-CN"/>
        </w:rPr>
        <w:t>3</w:t>
      </w:r>
      <w:r>
        <w:rPr>
          <w:rFonts w:hint="eastAsia" w:ascii="仿宋_GB2312" w:hAnsi="仿宋" w:eastAsia="仿宋_GB2312"/>
          <w:color w:val="auto"/>
          <w:kern w:val="2"/>
          <w:sz w:val="32"/>
          <w:szCs w:val="32"/>
        </w:rPr>
        <w:t>-4307</w:t>
      </w:r>
      <w:r>
        <w:rPr>
          <w:rFonts w:hint="eastAsia" w:ascii="仿宋_GB2312" w:hAnsi="仿宋" w:eastAsia="仿宋_GB2312"/>
          <w:color w:val="auto"/>
          <w:kern w:val="2"/>
          <w:sz w:val="32"/>
          <w:szCs w:val="32"/>
          <w:lang w:val="en-US" w:eastAsia="zh-CN"/>
        </w:rPr>
        <w:t>00</w:t>
      </w:r>
      <w:r>
        <w:rPr>
          <w:rFonts w:hint="eastAsia" w:ascii="仿宋_GB2312" w:hAnsi="仿宋" w:eastAsia="仿宋_GB2312"/>
          <w:color w:val="auto"/>
          <w:kern w:val="2"/>
          <w:sz w:val="32"/>
          <w:szCs w:val="32"/>
        </w:rPr>
        <w:t>-04-0</w:t>
      </w:r>
      <w:r>
        <w:rPr>
          <w:rFonts w:hint="eastAsia" w:ascii="仿宋_GB2312" w:hAnsi="仿宋" w:eastAsia="仿宋_GB2312"/>
          <w:color w:val="auto"/>
          <w:kern w:val="2"/>
          <w:sz w:val="32"/>
          <w:szCs w:val="32"/>
          <w:lang w:val="en-US" w:eastAsia="zh-CN"/>
        </w:rPr>
        <w:t>1</w:t>
      </w: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val="en-US" w:eastAsia="zh-CN"/>
        </w:rPr>
        <w:t>878446</w:t>
      </w:r>
      <w:r>
        <w:rPr>
          <w:rFonts w:hint="eastAsia" w:ascii="仿宋_GB2312" w:hAnsi="仿宋" w:eastAsia="仿宋_GB2312"/>
          <w:color w:val="auto"/>
          <w:kern w:val="2"/>
          <w:sz w:val="32"/>
          <w:szCs w:val="32"/>
        </w:rPr>
        <w:t>）及《报告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》网上公示期间未收到反馈意见的情况。经研究，批复如下：</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rPr>
        <w:t>一、基本情况及总体意见</w:t>
      </w:r>
    </w:p>
    <w:p>
      <w:pPr>
        <w:widowControl w:val="0"/>
        <w:spacing w:after="0" w:line="560" w:lineRule="exact"/>
        <w:ind w:firstLine="640" w:firstLineChars="200"/>
        <w:jc w:val="both"/>
        <w:rPr>
          <w:rFonts w:hint="eastAsia" w:ascii="仿宋_GB2312" w:hAnsi="仿宋" w:eastAsia="仿宋_GB2312"/>
          <w:color w:val="FF0000"/>
          <w:kern w:val="2"/>
          <w:sz w:val="32"/>
          <w:szCs w:val="32"/>
        </w:rPr>
      </w:pPr>
      <w:r>
        <w:rPr>
          <w:rFonts w:hint="eastAsia" w:ascii="仿宋_GB2312" w:hAnsi="仿宋" w:eastAsia="仿宋_GB2312"/>
          <w:color w:val="auto"/>
          <w:kern w:val="2"/>
          <w:sz w:val="32"/>
          <w:szCs w:val="32"/>
          <w:lang w:val="en-US" w:eastAsia="zh-CN"/>
        </w:rPr>
        <w:t>项目地址位于湖南省常德市鼎城区常德高新技术产业开发区临岗公路与兴工大道交叉处，湖南响箭重工科技股份有限公司三期用地范围内(东经：111度37分26.091秒，北纬：29度06分12.356秒)，三期用地面积19722.6平方米。项目主要建设内容包括：新建一栋9#生产车间，占地面积10080平方米，建设一条大型精密结构件加工生产线和一条自动化油漆喷涂生产线（用于风电发电机底座和泵车架构件喷涂），并配套相关环保设施及其他辅助工程，建成后可年加工生产风电发电机底座1900台、泵车结构件150套；现有工程水性漆喷漆房位置调整至5#生产车间内东部，调整后的底漆房和面漆房在同一间喷漆房内分隔，4#生产车间内东部新建一间喷丸房和一间喷锌房。项目</w:t>
      </w:r>
      <w:r>
        <w:rPr>
          <w:rFonts w:hint="eastAsia" w:ascii="仿宋_GB2312" w:hAnsi="仿宋" w:eastAsia="仿宋_GB2312"/>
          <w:color w:val="auto"/>
          <w:kern w:val="2"/>
          <w:sz w:val="32"/>
          <w:szCs w:val="32"/>
        </w:rPr>
        <w:t>总投资</w:t>
      </w:r>
      <w:r>
        <w:rPr>
          <w:rFonts w:hint="eastAsia" w:ascii="仿宋_GB2312" w:hAnsi="仿宋" w:eastAsia="仿宋_GB2312"/>
          <w:color w:val="auto"/>
          <w:kern w:val="2"/>
          <w:sz w:val="32"/>
          <w:szCs w:val="32"/>
          <w:lang w:val="en-US" w:eastAsia="zh-CN"/>
        </w:rPr>
        <w:t>10000</w:t>
      </w:r>
      <w:r>
        <w:rPr>
          <w:rFonts w:hint="eastAsia" w:ascii="仿宋_GB2312" w:hAnsi="仿宋" w:eastAsia="仿宋_GB2312"/>
          <w:color w:val="auto"/>
          <w:kern w:val="2"/>
          <w:sz w:val="32"/>
          <w:szCs w:val="32"/>
        </w:rPr>
        <w:t>万元，其中环保投资</w:t>
      </w:r>
      <w:r>
        <w:rPr>
          <w:rFonts w:hint="eastAsia" w:ascii="仿宋_GB2312" w:hAnsi="仿宋" w:eastAsia="仿宋_GB2312"/>
          <w:color w:val="auto"/>
          <w:kern w:val="2"/>
          <w:sz w:val="32"/>
          <w:szCs w:val="32"/>
          <w:lang w:val="en-US" w:eastAsia="zh-CN"/>
        </w:rPr>
        <w:t>1450</w:t>
      </w:r>
      <w:r>
        <w:rPr>
          <w:rFonts w:hint="eastAsia" w:ascii="仿宋_GB2312" w:hAnsi="仿宋" w:eastAsia="仿宋_GB2312"/>
          <w:color w:val="auto"/>
          <w:kern w:val="2"/>
          <w:sz w:val="32"/>
          <w:szCs w:val="32"/>
        </w:rPr>
        <w:t>万元，占总投资的</w:t>
      </w:r>
      <w:r>
        <w:rPr>
          <w:rFonts w:hint="eastAsia" w:ascii="仿宋_GB2312" w:hAnsi="仿宋" w:eastAsia="仿宋_GB2312"/>
          <w:color w:val="auto"/>
          <w:kern w:val="2"/>
          <w:sz w:val="32"/>
          <w:szCs w:val="32"/>
          <w:lang w:val="en-US" w:eastAsia="zh-CN"/>
        </w:rPr>
        <w:t>14.5</w:t>
      </w:r>
      <w:r>
        <w:rPr>
          <w:rFonts w:hint="eastAsia" w:ascii="仿宋_GB2312" w:hAnsi="仿宋" w:eastAsia="仿宋_GB2312"/>
          <w:color w:val="auto"/>
          <w:kern w:val="2"/>
          <w:sz w:val="32"/>
          <w:szCs w:val="32"/>
        </w:rPr>
        <w:t>%。</w:t>
      </w:r>
    </w:p>
    <w:p>
      <w:pPr>
        <w:widowControl w:val="0"/>
        <w:spacing w:after="0" w:line="560" w:lineRule="exact"/>
        <w:ind w:firstLine="640" w:firstLineChars="200"/>
        <w:jc w:val="both"/>
        <w:rPr>
          <w:rFonts w:hint="eastAsia"/>
        </w:rPr>
      </w:pPr>
      <w:r>
        <w:rPr>
          <w:rFonts w:hint="eastAsia" w:ascii="仿宋_GB2312" w:hAnsi="仿宋" w:eastAsia="仿宋_GB2312"/>
          <w:color w:val="auto"/>
          <w:kern w:val="2"/>
          <w:sz w:val="32"/>
          <w:szCs w:val="32"/>
        </w:rPr>
        <w:t>根据《报告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》结论、专家审查意见及常德市生态环境局</w:t>
      </w:r>
      <w:r>
        <w:rPr>
          <w:rFonts w:hint="eastAsia" w:ascii="仿宋_GB2312" w:hAnsi="仿宋" w:eastAsia="仿宋_GB2312"/>
          <w:color w:val="auto"/>
          <w:kern w:val="2"/>
          <w:sz w:val="32"/>
          <w:szCs w:val="32"/>
          <w:lang w:eastAsia="zh-CN"/>
        </w:rPr>
        <w:t>鼎城</w:t>
      </w:r>
      <w:r>
        <w:rPr>
          <w:rFonts w:hint="eastAsia" w:ascii="仿宋_GB2312" w:hAnsi="仿宋" w:eastAsia="仿宋_GB2312"/>
          <w:color w:val="auto"/>
          <w:kern w:val="2"/>
          <w:sz w:val="32"/>
          <w:szCs w:val="32"/>
        </w:rPr>
        <w:t>分局的预审意见，</w:t>
      </w:r>
      <w:r>
        <w:rPr>
          <w:rFonts w:hint="eastAsia" w:ascii="仿宋_GB2312" w:hAnsi="仿宋" w:eastAsia="仿宋_GB2312"/>
          <w:color w:val="auto"/>
          <w:kern w:val="2"/>
          <w:sz w:val="32"/>
          <w:szCs w:val="32"/>
          <w:lang w:eastAsia="zh-CN"/>
        </w:rPr>
        <w:t>同时根据常德高新技术产业开发区管理委员会、常德高新技术产业开发区产业发展局等部门意见，</w:t>
      </w:r>
      <w:r>
        <w:rPr>
          <w:rFonts w:hint="eastAsia" w:ascii="仿宋_GB2312" w:hAnsi="仿宋" w:eastAsia="仿宋_GB2312"/>
          <w:color w:val="auto"/>
          <w:kern w:val="2"/>
          <w:sz w:val="32"/>
          <w:szCs w:val="32"/>
        </w:rPr>
        <w:t>项目符合国家产业政策</w:t>
      </w:r>
      <w:r>
        <w:rPr>
          <w:rFonts w:hint="eastAsia" w:ascii="仿宋_GB2312" w:hAnsi="仿宋" w:eastAsia="仿宋_GB2312"/>
          <w:color w:val="auto"/>
          <w:kern w:val="2"/>
          <w:sz w:val="32"/>
          <w:szCs w:val="32"/>
          <w:lang w:eastAsia="zh-CN"/>
        </w:rPr>
        <w:t>和相关规划要求</w:t>
      </w:r>
      <w:r>
        <w:rPr>
          <w:rFonts w:hint="eastAsia" w:ascii="仿宋_GB2312" w:hAnsi="仿宋" w:eastAsia="仿宋_GB2312"/>
          <w:color w:val="auto"/>
          <w:kern w:val="2"/>
          <w:sz w:val="32"/>
          <w:szCs w:val="32"/>
        </w:rPr>
        <w:t>，符合《湖南省生态环境分区管控总体管控要求暨省级以上产业园区生态环境准入清单》（湘环函〔2024〕26号）中明确的生态环境分区管控及生态环境准入清单要求</w:t>
      </w:r>
      <w:r>
        <w:rPr>
          <w:rFonts w:hint="eastAsia" w:ascii="仿宋_GB2312" w:hAnsi="仿宋" w:eastAsia="仿宋_GB2312"/>
          <w:color w:val="auto"/>
          <w:kern w:val="2"/>
          <w:sz w:val="32"/>
          <w:szCs w:val="32"/>
          <w:lang w:eastAsia="zh-CN"/>
        </w:rPr>
        <w:t>。</w:t>
      </w:r>
      <w:r>
        <w:rPr>
          <w:rFonts w:hint="eastAsia" w:ascii="仿宋_GB2312" w:hAnsi="仿宋" w:eastAsia="仿宋_GB2312"/>
          <w:color w:val="auto"/>
          <w:kern w:val="2"/>
          <w:sz w:val="32"/>
          <w:szCs w:val="32"/>
        </w:rPr>
        <w:t>在全面落实《报告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》及批复提出的各项污染防治措施、</w:t>
      </w:r>
      <w:r>
        <w:rPr>
          <w:rFonts w:hint="eastAsia" w:ascii="仿宋_GB2312" w:hAnsi="仿宋" w:eastAsia="仿宋_GB2312"/>
          <w:color w:val="auto"/>
          <w:kern w:val="2"/>
          <w:sz w:val="32"/>
          <w:szCs w:val="32"/>
          <w:lang w:val="en-US" w:eastAsia="zh-CN"/>
        </w:rPr>
        <w:t>环境风险防范措施、</w:t>
      </w:r>
      <w:r>
        <w:rPr>
          <w:rFonts w:hint="eastAsia" w:ascii="仿宋_GB2312" w:hAnsi="仿宋" w:eastAsia="仿宋_GB2312"/>
          <w:color w:val="auto"/>
          <w:kern w:val="2"/>
          <w:sz w:val="32"/>
          <w:szCs w:val="32"/>
        </w:rPr>
        <w:t>确保各项污染物稳定达标排放的前提下，</w:t>
      </w:r>
      <w:r>
        <w:rPr>
          <w:rFonts w:hint="eastAsia" w:ascii="仿宋_GB2312" w:hAnsi="仿宋" w:eastAsia="仿宋_GB2312"/>
          <w:color w:val="auto"/>
          <w:kern w:val="2"/>
          <w:sz w:val="32"/>
          <w:szCs w:val="32"/>
          <w:lang w:eastAsia="zh-CN"/>
        </w:rPr>
        <w:t>从环境保护角度</w:t>
      </w:r>
      <w:r>
        <w:rPr>
          <w:rFonts w:hint="eastAsia" w:ascii="仿宋_GB2312" w:hAnsi="仿宋" w:eastAsia="仿宋_GB2312"/>
          <w:color w:val="auto"/>
          <w:kern w:val="2"/>
          <w:sz w:val="32"/>
          <w:szCs w:val="32"/>
        </w:rPr>
        <w:t>我局原则同意项目建设。</w:t>
      </w:r>
    </w:p>
    <w:p>
      <w:pPr>
        <w:widowControl w:val="0"/>
        <w:spacing w:after="0" w:line="560" w:lineRule="exact"/>
        <w:ind w:firstLine="640" w:firstLineChars="200"/>
        <w:jc w:val="both"/>
        <w:rPr>
          <w:rFonts w:hint="eastAsia" w:ascii="仿宋_GB2312" w:hAnsi="仿宋" w:eastAsia="仿宋_GB2312"/>
          <w:color w:val="FF0000"/>
          <w:kern w:val="2"/>
          <w:sz w:val="32"/>
          <w:szCs w:val="32"/>
        </w:rPr>
      </w:pPr>
      <w:r>
        <w:rPr>
          <w:rFonts w:hint="eastAsia" w:ascii="仿宋_GB2312" w:hAnsi="仿宋" w:eastAsia="仿宋_GB2312"/>
          <w:color w:val="auto"/>
          <w:kern w:val="2"/>
          <w:sz w:val="32"/>
          <w:szCs w:val="32"/>
        </w:rPr>
        <w:t>二、项目在</w:t>
      </w:r>
      <w:r>
        <w:rPr>
          <w:rFonts w:hint="eastAsia" w:ascii="仿宋_GB2312" w:hAnsi="仿宋" w:eastAsia="仿宋_GB2312"/>
          <w:color w:val="auto"/>
          <w:kern w:val="2"/>
          <w:sz w:val="32"/>
          <w:szCs w:val="32"/>
          <w:lang w:eastAsia="zh-CN"/>
        </w:rPr>
        <w:t>设计、</w:t>
      </w:r>
      <w:r>
        <w:rPr>
          <w:rFonts w:hint="eastAsia" w:ascii="仿宋_GB2312" w:hAnsi="仿宋" w:eastAsia="仿宋_GB2312"/>
          <w:color w:val="auto"/>
          <w:kern w:val="2"/>
          <w:sz w:val="32"/>
          <w:szCs w:val="32"/>
        </w:rPr>
        <w:t>建设和营运生产过程中，须严格落实《报告</w:t>
      </w:r>
      <w:r>
        <w:rPr>
          <w:rFonts w:hint="eastAsia" w:ascii="仿宋_GB2312" w:hAnsi="仿宋" w:eastAsia="仿宋_GB2312"/>
          <w:color w:val="auto"/>
          <w:kern w:val="2"/>
          <w:sz w:val="32"/>
          <w:szCs w:val="32"/>
          <w:lang w:eastAsia="zh-CN"/>
        </w:rPr>
        <w:t>书</w:t>
      </w:r>
      <w:r>
        <w:rPr>
          <w:rFonts w:hint="eastAsia" w:ascii="仿宋_GB2312" w:hAnsi="仿宋" w:eastAsia="仿宋_GB2312"/>
          <w:color w:val="auto"/>
          <w:kern w:val="2"/>
          <w:sz w:val="32"/>
          <w:szCs w:val="32"/>
        </w:rPr>
        <w:t>》提出的各项污染防治措施，着重做好以下工作：</w:t>
      </w:r>
    </w:p>
    <w:p>
      <w:pPr>
        <w:widowControl w:val="0"/>
        <w:spacing w:after="0" w:line="560" w:lineRule="exact"/>
        <w:ind w:firstLine="640" w:firstLineChars="200"/>
        <w:jc w:val="both"/>
        <w:rPr>
          <w:rFonts w:hint="eastAsia"/>
        </w:rPr>
      </w:pPr>
      <w:r>
        <w:rPr>
          <w:rFonts w:hint="eastAsia" w:ascii="仿宋_GB2312" w:hAnsi="仿宋" w:eastAsia="仿宋_GB2312"/>
          <w:color w:val="000000" w:themeColor="text1"/>
          <w:kern w:val="2"/>
          <w:sz w:val="32"/>
          <w:szCs w:val="32"/>
          <w14:textFill>
            <w14:solidFill>
              <w14:schemeClr w14:val="tx1"/>
            </w14:solidFill>
          </w14:textFill>
        </w:rPr>
        <w:t>（一）</w:t>
      </w:r>
      <w:r>
        <w:rPr>
          <w:rFonts w:hint="eastAsia" w:ascii="仿宋_GB2312" w:hAnsi="仿宋" w:eastAsia="仿宋_GB2312"/>
          <w:color w:val="auto"/>
          <w:kern w:val="2"/>
          <w:sz w:val="32"/>
          <w:szCs w:val="32"/>
          <w:lang w:val="en-US" w:eastAsia="zh-CN"/>
        </w:rPr>
        <w:t>加强施工期的环境管理。严格落实施工期各项污染防治措施，减小施工期间施工噪声、废水、废气和固体废物等对周边环境造成的不利影响。加强施工期的水土保持工作，减小施工期水土流失。</w:t>
      </w:r>
    </w:p>
    <w:p>
      <w:pPr>
        <w:widowControl w:val="0"/>
        <w:spacing w:after="0" w:line="560" w:lineRule="exact"/>
        <w:ind w:firstLine="640" w:firstLineChars="200"/>
        <w:jc w:val="both"/>
        <w:rPr>
          <w:rFonts w:hint="eastAsia" w:ascii="仿宋_GB2312" w:hAnsi="仿宋" w:eastAsia="仿宋_GB2312"/>
          <w:color w:val="auto"/>
          <w:kern w:val="2"/>
          <w:sz w:val="32"/>
          <w:szCs w:val="32"/>
          <w:lang w:val="en-US" w:eastAsia="zh-CN"/>
        </w:rPr>
      </w:pPr>
      <w:r>
        <w:rPr>
          <w:rFonts w:hint="eastAsia" w:ascii="仿宋_GB2312" w:hAnsi="仿宋" w:eastAsia="仿宋_GB2312"/>
          <w:color w:val="auto"/>
          <w:kern w:val="2"/>
          <w:sz w:val="32"/>
          <w:szCs w:val="32"/>
          <w:lang w:val="en-US" w:eastAsia="zh-CN"/>
        </w:rPr>
        <w:t>（二）严格落实大气污染防治措施。项目须选用低挥发性有机化合物含量的涂料产品，VOC含量必须满足《低挥发性有机化合物含量涂料产品技术要求》（GB/T38597-2020）中表2相关限值要求。建设单位须通过采取设备与场所密闭、工艺改进、废气有效收集等措施，削减VOCs无组织排放。</w:t>
      </w:r>
    </w:p>
    <w:p>
      <w:pPr>
        <w:keepNext w:val="0"/>
        <w:keepLines w:val="0"/>
        <w:pageBreakBefore w:val="0"/>
        <w:widowControl w:val="0"/>
        <w:kinsoku/>
        <w:wordWrap/>
        <w:overflowPunct/>
        <w:topLinePunct w:val="0"/>
        <w:bidi w:val="0"/>
        <w:adjustRightInd w:val="0"/>
        <w:spacing w:after="0" w:line="560" w:lineRule="exact"/>
        <w:ind w:firstLine="640" w:firstLineChars="200"/>
        <w:jc w:val="both"/>
        <w:textAlignment w:val="auto"/>
        <w:rPr>
          <w:rFonts w:hint="eastAsia" w:ascii="仿宋_GB2312" w:hAnsi="仿宋" w:eastAsia="仿宋_GB2312"/>
          <w:color w:val="000000" w:themeColor="text1"/>
          <w:kern w:val="2"/>
          <w:sz w:val="32"/>
          <w:szCs w:val="32"/>
          <w:lang w:val="en-US" w:eastAsia="zh-CN"/>
          <w14:textFill>
            <w14:solidFill>
              <w14:schemeClr w14:val="tx1"/>
            </w14:solidFill>
          </w14:textFill>
        </w:rPr>
      </w:pPr>
      <w:r>
        <w:rPr>
          <w:rFonts w:hint="eastAsia" w:ascii="仿宋_GB2312" w:hAnsi="仿宋" w:eastAsia="仿宋_GB2312"/>
          <w:color w:val="auto"/>
          <w:kern w:val="2"/>
          <w:sz w:val="32"/>
          <w:szCs w:val="32"/>
          <w:lang w:val="en-US" w:eastAsia="zh-CN"/>
        </w:rPr>
        <w:t>水性漆喷涂和烘干产生的有机废气采取密闭负压收集+活性炭吸附+催化燃烧处理，尾气通过一根15米的排气筒（DA001）排放。油性漆喷涂和烘干产生的有机废气采取密闭负压收集+沸石转轮+RTO蓄热燃烧处理，尾气通过一根15米的排气筒（DA006）排放。工件和结构件喷涂后烘干通过燃烧机燃烧产生的热量实施烘干，燃烧机采用清洁能源天然气，天然气燃烧采用低氮燃烧方式，尾气通过一根15米的排气筒（DA006）排放。喷丸房整体密闭，喷丸粉尘有效收集后采用布袋除尘器处理，尾气通过一根15米的排气筒（DA004）排放。喷锌房整体密闭，喷锌粉尘有效收集后采用布袋除尘器处理，尾气通过一根15米的排气筒（DA005）排放。下料粉尘通过切割机自带滤芯除尘系统处理后无组织排放，焊接烟尘通过移动焊烟净化器（袋式除尘）处理后无组织排放。同时，建设单位在营运生产过程中要加强对以上废气污染防治设施的运行管理与维护，确保各污染防治设施稳定高效运行。</w:t>
      </w:r>
    </w:p>
    <w:p>
      <w:pPr>
        <w:keepNext w:val="0"/>
        <w:keepLines w:val="0"/>
        <w:pageBreakBefore w:val="0"/>
        <w:widowControl w:val="0"/>
        <w:kinsoku/>
        <w:wordWrap/>
        <w:overflowPunct/>
        <w:topLinePunct w:val="0"/>
        <w:bidi w:val="0"/>
        <w:adjustRightInd w:val="0"/>
        <w:snapToGrid w:val="0"/>
        <w:spacing w:after="0" w:line="560" w:lineRule="exact"/>
        <w:ind w:firstLine="640" w:firstLineChars="200"/>
        <w:jc w:val="both"/>
        <w:textAlignment w:val="auto"/>
        <w:rPr>
          <w:rFonts w:hint="default"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有组织污染物排放执行标准:油性油漆喷涂和烘干产生的有机废气经收集处理后尾气非甲烷总烃排放执行《工业企业挥发性有机物排放标准》（DB43/3550-2026）表1其他行业限值标准，水性油漆喷涂和烘干产生的有机废气经收集处理后非甲烷总烃排放执行《工业企业挥发性有机物排放标准》（DB43/3550-2026）表1汽车制造业限值标准。燃烧机燃烧天然气尾气二氧化硫、氮氧化物、颗粒物排放执行《湖南省工业炉窑大气污染物综合治理实施方案》中限值标准。喷丸、喷锌产生的粉尘分别经收集处理后尾气颗粒物排放执行《大气污染物综合排放标准》（GB16297-1996）表2限值标准。</w:t>
      </w:r>
    </w:p>
    <w:p>
      <w:pPr>
        <w:keepNext w:val="0"/>
        <w:keepLines w:val="0"/>
        <w:pageBreakBefore w:val="0"/>
        <w:widowControl w:val="0"/>
        <w:kinsoku/>
        <w:wordWrap/>
        <w:overflowPunct/>
        <w:topLinePunct w:val="0"/>
        <w:bidi w:val="0"/>
        <w:adjustRightInd w:val="0"/>
        <w:snapToGrid w:val="0"/>
        <w:spacing w:after="0" w:line="560" w:lineRule="exact"/>
        <w:ind w:firstLine="640" w:firstLineChars="200"/>
        <w:jc w:val="both"/>
        <w:textAlignment w:val="auto"/>
        <w:rPr>
          <w:rFonts w:hint="eastAsia" w:ascii="仿宋_GB2312" w:hAnsi="仿宋" w:eastAsia="仿宋_GB2312"/>
          <w:color w:val="auto"/>
          <w:kern w:val="2"/>
          <w:sz w:val="32"/>
          <w:szCs w:val="32"/>
        </w:rPr>
      </w:pPr>
      <w:r>
        <w:rPr>
          <w:rFonts w:hint="eastAsia" w:ascii="仿宋_GB2312" w:hAnsi="仿宋" w:eastAsia="仿宋_GB2312" w:cs="Times New Roman"/>
          <w:color w:val="auto"/>
          <w:kern w:val="2"/>
          <w:sz w:val="32"/>
          <w:szCs w:val="32"/>
          <w:lang w:val="en-US" w:eastAsia="zh-CN" w:bidi="ar-SA"/>
        </w:rPr>
        <w:t>无组织污染物排放执行标准：厂界颗粒物、非甲烷总烃无组织排放执行《大气污染物综合排放标准》（GB16297-1996）表2无组织排放监控浓度限值；厂界苯无组织排放执行《工业企业挥发性有机物排放标准》（DB43/3550-2026）表3限值标准；厂区内非甲烷总烃无组织排放执行《工业企业挥发性有机物排放标准》（DB43/3550-2026）表2限值标准。</w:t>
      </w:r>
    </w:p>
    <w:p>
      <w:pPr>
        <w:widowControl w:val="0"/>
        <w:spacing w:after="0" w:line="560" w:lineRule="exact"/>
        <w:ind w:firstLine="640" w:firstLineChars="200"/>
        <w:jc w:val="both"/>
        <w:rPr>
          <w:rFonts w:hint="eastAsia"/>
        </w:rPr>
      </w:pPr>
      <w:r>
        <w:rPr>
          <w:rFonts w:hint="eastAsia" w:ascii="仿宋_GB2312" w:hAnsi="仿宋" w:eastAsia="仿宋_GB2312"/>
          <w:color w:val="000000" w:themeColor="text1"/>
          <w:kern w:val="2"/>
          <w:sz w:val="32"/>
          <w:szCs w:val="32"/>
          <w14:textFill>
            <w14:solidFill>
              <w14:schemeClr w14:val="tx1"/>
            </w14:solidFill>
          </w14:textFill>
        </w:rPr>
        <w:t>（</w:t>
      </w:r>
      <w:r>
        <w:rPr>
          <w:rFonts w:hint="eastAsia" w:ascii="仿宋_GB2312" w:hAnsi="仿宋" w:eastAsia="仿宋_GB2312"/>
          <w:color w:val="000000" w:themeColor="text1"/>
          <w:kern w:val="2"/>
          <w:sz w:val="32"/>
          <w:szCs w:val="32"/>
          <w:lang w:eastAsia="zh-CN"/>
          <w14:textFill>
            <w14:solidFill>
              <w14:schemeClr w14:val="tx1"/>
            </w14:solidFill>
          </w14:textFill>
        </w:rPr>
        <w:t>三</w:t>
      </w:r>
      <w:r>
        <w:rPr>
          <w:rFonts w:hint="eastAsia" w:ascii="仿宋_GB2312" w:hAnsi="仿宋" w:eastAsia="仿宋_GB2312"/>
          <w:color w:val="000000" w:themeColor="text1"/>
          <w:kern w:val="2"/>
          <w:sz w:val="32"/>
          <w:szCs w:val="32"/>
          <w14:textFill>
            <w14:solidFill>
              <w14:schemeClr w14:val="tx1"/>
            </w14:solidFill>
          </w14:textFill>
        </w:rPr>
        <w:t>）严格落实水污染防治措施</w:t>
      </w:r>
      <w:r>
        <w:rPr>
          <w:rFonts w:hint="eastAsia" w:ascii="仿宋_GB2312" w:hAnsi="仿宋" w:eastAsia="仿宋_GB2312"/>
          <w:color w:val="000000" w:themeColor="text1"/>
          <w:kern w:val="2"/>
          <w:sz w:val="32"/>
          <w:szCs w:val="32"/>
          <w:lang w:eastAsia="zh-CN"/>
          <w14:textFill>
            <w14:solidFill>
              <w14:schemeClr w14:val="tx1"/>
            </w14:solidFill>
          </w14:textFill>
        </w:rPr>
        <w:t>。本次改扩建</w:t>
      </w:r>
      <w:r>
        <w:rPr>
          <w:rFonts w:hint="eastAsia" w:ascii="仿宋_GB2312" w:hAnsi="仿宋" w:eastAsia="仿宋_GB2312"/>
          <w:color w:val="000000" w:themeColor="text1"/>
          <w:kern w:val="2"/>
          <w:sz w:val="32"/>
          <w:szCs w:val="32"/>
          <w:lang w:val="en-US" w:eastAsia="zh-CN"/>
          <w14:textFill>
            <w14:solidFill>
              <w14:schemeClr w14:val="tx1"/>
            </w14:solidFill>
          </w14:textFill>
        </w:rPr>
        <w:t>项目建成后营运生产过程中无生产废水产生，仅有少量的员工生活污水。生活污水依托现有工程生活污水处理系统经隔油池、化粪池预处理</w:t>
      </w:r>
      <w:r>
        <w:rPr>
          <w:rFonts w:hint="eastAsia" w:ascii="仿宋_GB2312" w:hAnsi="仿宋" w:eastAsia="仿宋_GB2312"/>
          <w:color w:val="000000" w:themeColor="text1"/>
          <w:kern w:val="2"/>
          <w:sz w:val="32"/>
          <w:szCs w:val="32"/>
          <w14:textFill>
            <w14:solidFill>
              <w14:schemeClr w14:val="tx1"/>
            </w14:solidFill>
          </w14:textFill>
        </w:rPr>
        <w:t>后排入</w:t>
      </w:r>
      <w:r>
        <w:rPr>
          <w:rFonts w:hint="eastAsia" w:ascii="仿宋_GB2312" w:hAnsi="仿宋" w:eastAsia="仿宋_GB2312"/>
          <w:color w:val="000000" w:themeColor="text1"/>
          <w:kern w:val="2"/>
          <w:sz w:val="32"/>
          <w:szCs w:val="32"/>
          <w:lang w:val="en-US" w:eastAsia="zh-CN"/>
          <w14:textFill>
            <w14:solidFill>
              <w14:schemeClr w14:val="tx1"/>
            </w14:solidFill>
          </w14:textFill>
        </w:rPr>
        <w:t>园区</w:t>
      </w:r>
      <w:r>
        <w:rPr>
          <w:rFonts w:hint="eastAsia" w:ascii="仿宋_GB2312" w:hAnsi="仿宋" w:eastAsia="仿宋_GB2312"/>
          <w:color w:val="000000" w:themeColor="text1"/>
          <w:kern w:val="2"/>
          <w:sz w:val="32"/>
          <w:szCs w:val="32"/>
          <w14:textFill>
            <w14:solidFill>
              <w14:schemeClr w14:val="tx1"/>
            </w14:solidFill>
          </w14:textFill>
        </w:rPr>
        <w:t>污水管网，最后进入</w:t>
      </w:r>
      <w:r>
        <w:rPr>
          <w:rFonts w:hint="eastAsia" w:ascii="仿宋_GB2312" w:hAnsi="仿宋" w:eastAsia="仿宋_GB2312"/>
          <w:color w:val="000000" w:themeColor="text1"/>
          <w:kern w:val="2"/>
          <w:sz w:val="32"/>
          <w:szCs w:val="32"/>
          <w:lang w:eastAsia="zh-CN"/>
          <w14:textFill>
            <w14:solidFill>
              <w14:schemeClr w14:val="tx1"/>
            </w14:solidFill>
          </w14:textFill>
        </w:rPr>
        <w:t>常德高新区</w:t>
      </w:r>
      <w:r>
        <w:rPr>
          <w:rFonts w:hint="eastAsia" w:ascii="仿宋_GB2312" w:hAnsi="仿宋" w:eastAsia="仿宋_GB2312"/>
          <w:color w:val="000000" w:themeColor="text1"/>
          <w:kern w:val="2"/>
          <w:sz w:val="32"/>
          <w:szCs w:val="32"/>
          <w14:textFill>
            <w14:solidFill>
              <w14:schemeClr w14:val="tx1"/>
            </w14:solidFill>
          </w14:textFill>
        </w:rPr>
        <w:t>污水处理厂进一步处理达标后排放</w:t>
      </w:r>
      <w:r>
        <w:rPr>
          <w:rFonts w:hint="eastAsia" w:ascii="仿宋_GB2312" w:hAnsi="仿宋" w:eastAsia="仿宋_GB2312"/>
          <w:color w:val="000000" w:themeColor="text1"/>
          <w:kern w:val="2"/>
          <w:sz w:val="32"/>
          <w:szCs w:val="32"/>
          <w:lang w:eastAsia="zh-CN"/>
          <w14:textFill>
            <w14:solidFill>
              <w14:schemeClr w14:val="tx1"/>
            </w14:solidFill>
          </w14:textFill>
        </w:rPr>
        <w:t>。</w:t>
      </w:r>
      <w:r>
        <w:rPr>
          <w:rFonts w:hint="eastAsia" w:ascii="仿宋_GB2312" w:hAnsi="仿宋" w:eastAsia="仿宋_GB2312"/>
          <w:color w:val="auto"/>
          <w:kern w:val="2"/>
          <w:sz w:val="32"/>
          <w:szCs w:val="32"/>
          <w:lang w:val="en-US" w:eastAsia="zh-CN"/>
        </w:rPr>
        <w:t>经过预处理的生活污水</w:t>
      </w:r>
      <w:r>
        <w:rPr>
          <w:rFonts w:hint="eastAsia" w:ascii="仿宋_GB2312" w:hAnsi="仿宋" w:eastAsia="仿宋_GB2312"/>
          <w:color w:val="auto"/>
          <w:kern w:val="2"/>
          <w:sz w:val="32"/>
          <w:szCs w:val="32"/>
        </w:rPr>
        <w:t>排入园区污水管网须达到《污水综合排放标准》（GB8978-1996）表4三级标准，同时满足</w:t>
      </w:r>
      <w:r>
        <w:rPr>
          <w:rFonts w:hint="eastAsia" w:ascii="仿宋_GB2312" w:hAnsi="仿宋" w:eastAsia="仿宋_GB2312"/>
          <w:color w:val="auto"/>
          <w:kern w:val="2"/>
          <w:sz w:val="32"/>
          <w:szCs w:val="32"/>
          <w:lang w:eastAsia="zh-CN"/>
        </w:rPr>
        <w:t>常德高新区</w:t>
      </w:r>
      <w:r>
        <w:rPr>
          <w:rFonts w:hint="eastAsia" w:ascii="仿宋_GB2312" w:hAnsi="仿宋" w:eastAsia="仿宋_GB2312"/>
          <w:color w:val="auto"/>
          <w:kern w:val="2"/>
          <w:sz w:val="32"/>
          <w:szCs w:val="32"/>
        </w:rPr>
        <w:t>污水处理厂进水水质要求。</w:t>
      </w:r>
    </w:p>
    <w:p>
      <w:pPr>
        <w:widowControl w:val="0"/>
        <w:spacing w:after="0" w:line="560" w:lineRule="exact"/>
        <w:ind w:firstLine="640" w:firstLineChars="200"/>
        <w:jc w:val="both"/>
        <w:rPr>
          <w:rFonts w:hint="eastAsia" w:ascii="仿宋_GB2312" w:hAnsi="仿宋" w:eastAsia="仿宋_GB2312"/>
          <w:color w:val="FF0000"/>
          <w:kern w:val="2"/>
          <w:sz w:val="32"/>
          <w:szCs w:val="32"/>
        </w:rPr>
      </w:pP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eastAsia="zh-CN"/>
        </w:rPr>
        <w:t>四</w:t>
      </w:r>
      <w:r>
        <w:rPr>
          <w:rFonts w:hint="eastAsia" w:ascii="仿宋_GB2312" w:hAnsi="仿宋" w:eastAsia="仿宋_GB2312"/>
          <w:color w:val="auto"/>
          <w:kern w:val="2"/>
          <w:sz w:val="32"/>
          <w:szCs w:val="32"/>
        </w:rPr>
        <w:t>）严格落实固体废物收集和处置措施。</w:t>
      </w:r>
      <w:r>
        <w:rPr>
          <w:rFonts w:hint="eastAsia" w:ascii="仿宋_GB2312" w:hAnsi="仿宋" w:eastAsia="仿宋_GB2312"/>
          <w:color w:val="auto"/>
          <w:kern w:val="2"/>
          <w:sz w:val="32"/>
          <w:szCs w:val="32"/>
          <w:lang w:val="en-US" w:eastAsia="zh-CN"/>
        </w:rPr>
        <w:t>固体废物的处置遵循“减量化、资源化、无害化”原则，一般</w:t>
      </w:r>
      <w:r>
        <w:rPr>
          <w:rFonts w:hint="eastAsia" w:ascii="仿宋_GB2312" w:hAnsi="仿宋" w:eastAsia="仿宋_GB2312"/>
          <w:color w:val="auto"/>
          <w:kern w:val="2"/>
          <w:sz w:val="32"/>
          <w:szCs w:val="32"/>
        </w:rPr>
        <w:t>固体废物的收集、暂存及转移符合《一般工业固体废物贮存和填埋污染控制标准》（GB18599-2020）要求</w:t>
      </w:r>
      <w:r>
        <w:rPr>
          <w:rFonts w:hint="eastAsia" w:ascii="仿宋_GB2312" w:hAnsi="仿宋" w:eastAsia="仿宋_GB2312"/>
          <w:color w:val="auto"/>
          <w:kern w:val="2"/>
          <w:sz w:val="32"/>
          <w:szCs w:val="32"/>
          <w:lang w:eastAsia="zh-CN"/>
        </w:rPr>
        <w:t>，</w:t>
      </w:r>
      <w:r>
        <w:rPr>
          <w:rFonts w:hint="eastAsia" w:ascii="仿宋_GB2312" w:hAnsi="仿宋" w:eastAsia="仿宋_GB2312"/>
          <w:color w:val="auto"/>
          <w:kern w:val="2"/>
          <w:sz w:val="32"/>
          <w:szCs w:val="32"/>
          <w:lang w:val="en-US" w:eastAsia="zh-CN"/>
        </w:rPr>
        <w:t>危险废物的收集、暂存及转移符合《危险废物贮存污染物控制标准》（GB18597-2023）要求，防止二次污染。固体废物委托他人运输、利用、处置的，应当对受委托方的主体资格和技术能力进行核实，依法签订书面合同，在合同中约定污染防治要求</w:t>
      </w:r>
      <w:r>
        <w:rPr>
          <w:rFonts w:hint="eastAsia" w:ascii="仿宋_GB2312" w:hAnsi="仿宋" w:eastAsia="仿宋_GB2312"/>
          <w:color w:val="auto"/>
          <w:kern w:val="2"/>
          <w:sz w:val="32"/>
          <w:szCs w:val="32"/>
        </w:rPr>
        <w:t>。</w:t>
      </w:r>
    </w:p>
    <w:p>
      <w:pPr>
        <w:widowControl w:val="0"/>
        <w:spacing w:after="0" w:line="560" w:lineRule="exact"/>
        <w:ind w:firstLine="640" w:firstLineChars="200"/>
        <w:jc w:val="both"/>
        <w:rPr>
          <w:rFonts w:hint="eastAsia"/>
        </w:rPr>
      </w:pPr>
      <w:r>
        <w:rPr>
          <w:rFonts w:hint="eastAsia" w:ascii="仿宋_GB2312" w:hAnsi="仿宋" w:eastAsia="仿宋_GB2312"/>
          <w:color w:val="auto"/>
          <w:kern w:val="2"/>
          <w:sz w:val="32"/>
          <w:szCs w:val="32"/>
        </w:rPr>
        <w:t>（</w:t>
      </w:r>
      <w:r>
        <w:rPr>
          <w:rFonts w:hint="eastAsia" w:ascii="仿宋_GB2312" w:hAnsi="仿宋" w:eastAsia="仿宋_GB2312"/>
          <w:color w:val="auto"/>
          <w:kern w:val="2"/>
          <w:sz w:val="32"/>
          <w:szCs w:val="32"/>
          <w:lang w:eastAsia="zh-CN"/>
        </w:rPr>
        <w:t>五</w:t>
      </w:r>
      <w:r>
        <w:rPr>
          <w:rFonts w:hint="eastAsia" w:ascii="仿宋_GB2312" w:hAnsi="仿宋" w:eastAsia="仿宋_GB2312"/>
          <w:color w:val="auto"/>
          <w:kern w:val="2"/>
          <w:sz w:val="32"/>
          <w:szCs w:val="32"/>
        </w:rPr>
        <w:t>）严格落实噪声污染防治措施。优化总平面布局，选用低噪声设备，对高噪声设备采取</w:t>
      </w:r>
      <w:r>
        <w:rPr>
          <w:rFonts w:hint="eastAsia" w:ascii="仿宋_GB2312" w:hAnsi="仿宋" w:eastAsia="仿宋_GB2312"/>
          <w:color w:val="auto"/>
          <w:kern w:val="2"/>
          <w:sz w:val="32"/>
          <w:szCs w:val="32"/>
          <w:lang w:val="en-US" w:eastAsia="zh-CN"/>
        </w:rPr>
        <w:t>密闭</w:t>
      </w:r>
      <w:r>
        <w:rPr>
          <w:rFonts w:hint="eastAsia" w:ascii="仿宋_GB2312" w:hAnsi="仿宋" w:eastAsia="仿宋_GB2312"/>
          <w:color w:val="auto"/>
          <w:kern w:val="2"/>
          <w:sz w:val="32"/>
          <w:szCs w:val="32"/>
        </w:rPr>
        <w:t>隔声</w:t>
      </w:r>
      <w:r>
        <w:rPr>
          <w:rFonts w:hint="eastAsia" w:ascii="仿宋_GB2312" w:hAnsi="仿宋" w:eastAsia="仿宋_GB2312"/>
          <w:color w:val="auto"/>
          <w:kern w:val="2"/>
          <w:sz w:val="32"/>
          <w:szCs w:val="32"/>
          <w:lang w:eastAsia="zh-CN"/>
        </w:rPr>
        <w:t>、消声、</w:t>
      </w:r>
      <w:r>
        <w:rPr>
          <w:rFonts w:hint="eastAsia" w:ascii="仿宋_GB2312" w:hAnsi="仿宋" w:eastAsia="仿宋_GB2312"/>
          <w:color w:val="auto"/>
          <w:kern w:val="2"/>
          <w:sz w:val="32"/>
          <w:szCs w:val="32"/>
        </w:rPr>
        <w:t>基础减振等降噪措施，确保厂界噪声达到《工业企业厂界环境噪声排放标准》（GB12348-2008）3类标准</w:t>
      </w:r>
      <w:r>
        <w:rPr>
          <w:rFonts w:hint="eastAsia" w:ascii="仿宋_GB2312" w:hAnsi="仿宋" w:eastAsia="仿宋_GB2312"/>
          <w:color w:val="auto"/>
          <w:kern w:val="2"/>
          <w:sz w:val="32"/>
          <w:szCs w:val="32"/>
          <w:lang w:eastAsia="zh-CN"/>
        </w:rPr>
        <w:t>（厂界南侧和东侧）和</w:t>
      </w:r>
      <w:r>
        <w:rPr>
          <w:rFonts w:hint="eastAsia" w:ascii="仿宋_GB2312" w:hAnsi="仿宋" w:eastAsia="仿宋_GB2312"/>
          <w:color w:val="auto"/>
          <w:kern w:val="2"/>
          <w:sz w:val="32"/>
          <w:szCs w:val="32"/>
          <w:lang w:val="en-US" w:eastAsia="zh-CN"/>
        </w:rPr>
        <w:t>4类标准（厂界西侧和北侧）</w:t>
      </w:r>
      <w:r>
        <w:rPr>
          <w:rFonts w:hint="eastAsia" w:ascii="仿宋_GB2312" w:hAnsi="仿宋" w:eastAsia="仿宋_GB2312"/>
          <w:color w:val="auto"/>
          <w:kern w:val="2"/>
          <w:sz w:val="32"/>
          <w:szCs w:val="32"/>
        </w:rPr>
        <w:t>。</w:t>
      </w:r>
    </w:p>
    <w:p>
      <w:pPr>
        <w:widowControl w:val="0"/>
        <w:spacing w:after="0" w:line="560" w:lineRule="exact"/>
        <w:ind w:firstLine="640" w:firstLineChars="200"/>
        <w:jc w:val="both"/>
        <w:rPr>
          <w:rFonts w:hint="default" w:ascii="仿宋_GB2312" w:hAnsi="仿宋" w:eastAsia="仿宋_GB2312"/>
          <w:color w:val="auto"/>
          <w:kern w:val="2"/>
          <w:sz w:val="32"/>
          <w:szCs w:val="32"/>
          <w:lang w:val="en-US" w:eastAsia="zh-CN"/>
        </w:rPr>
      </w:pPr>
      <w:r>
        <w:rPr>
          <w:rFonts w:hint="eastAsia" w:ascii="仿宋_GB2312" w:hAnsi="仿宋" w:eastAsia="仿宋_GB2312"/>
          <w:color w:val="auto"/>
          <w:kern w:val="2"/>
          <w:sz w:val="32"/>
          <w:szCs w:val="32"/>
          <w:lang w:val="en-US" w:eastAsia="zh-CN"/>
        </w:rPr>
        <w:t>三、严格落实环境风险防范措施。严格落实《报告书》提出的各项环境事故风险防范措施，严防环境风险事故发生。按照《湖南省突发环境事故应急预案管理办法（修订版）》落实应急预案管理要求。</w:t>
      </w:r>
    </w:p>
    <w:p>
      <w:pPr>
        <w:widowControl w:val="0"/>
        <w:spacing w:after="0" w:line="560" w:lineRule="exact"/>
        <w:ind w:firstLine="640" w:firstLineChars="200"/>
        <w:jc w:val="both"/>
        <w:rPr>
          <w:rFonts w:hint="eastAsia" w:ascii="仿宋_GB2312" w:hAnsi="仿宋" w:eastAsia="仿宋_GB2312"/>
          <w:color w:val="auto"/>
          <w:kern w:val="2"/>
          <w:sz w:val="32"/>
          <w:szCs w:val="32"/>
          <w:lang w:val="en-US" w:eastAsia="zh-CN"/>
        </w:rPr>
      </w:pPr>
      <w:r>
        <w:rPr>
          <w:rFonts w:hint="eastAsia" w:ascii="仿宋_GB2312" w:hAnsi="仿宋" w:eastAsia="仿宋_GB2312"/>
          <w:color w:val="auto"/>
          <w:kern w:val="2"/>
          <w:sz w:val="32"/>
          <w:szCs w:val="32"/>
          <w:lang w:val="en-US" w:eastAsia="zh-CN"/>
        </w:rPr>
        <w:t>四</w:t>
      </w:r>
      <w:r>
        <w:rPr>
          <w:rFonts w:hint="default" w:ascii="仿宋_GB2312" w:hAnsi="仿宋" w:eastAsia="仿宋_GB2312"/>
          <w:color w:val="auto"/>
          <w:kern w:val="2"/>
          <w:sz w:val="32"/>
          <w:szCs w:val="32"/>
          <w:lang w:val="en-US" w:eastAsia="zh-CN"/>
        </w:rPr>
        <w:t>、严格落实总量控制要求。根据《报告</w:t>
      </w:r>
      <w:r>
        <w:rPr>
          <w:rFonts w:hint="eastAsia" w:ascii="仿宋_GB2312" w:hAnsi="仿宋" w:eastAsia="仿宋_GB2312"/>
          <w:color w:val="auto"/>
          <w:kern w:val="2"/>
          <w:sz w:val="32"/>
          <w:szCs w:val="32"/>
          <w:lang w:val="en-US" w:eastAsia="zh-CN"/>
        </w:rPr>
        <w:t>书</w:t>
      </w:r>
      <w:r>
        <w:rPr>
          <w:rFonts w:hint="default" w:ascii="仿宋_GB2312" w:hAnsi="仿宋" w:eastAsia="仿宋_GB2312"/>
          <w:color w:val="auto"/>
          <w:kern w:val="2"/>
          <w:sz w:val="32"/>
          <w:szCs w:val="32"/>
          <w:lang w:val="en-US" w:eastAsia="zh-CN"/>
        </w:rPr>
        <w:t>》核定项目</w:t>
      </w:r>
      <w:r>
        <w:rPr>
          <w:rFonts w:hint="eastAsia" w:ascii="仿宋_GB2312" w:hAnsi="仿宋" w:eastAsia="仿宋_GB2312"/>
          <w:color w:val="auto"/>
          <w:kern w:val="2"/>
          <w:sz w:val="32"/>
          <w:szCs w:val="32"/>
          <w:lang w:val="en-US" w:eastAsia="zh-CN"/>
        </w:rPr>
        <w:t>新增</w:t>
      </w:r>
      <w:r>
        <w:rPr>
          <w:rFonts w:hint="default" w:ascii="仿宋_GB2312" w:hAnsi="仿宋" w:eastAsia="仿宋_GB2312"/>
          <w:color w:val="auto"/>
          <w:kern w:val="2"/>
          <w:sz w:val="32"/>
          <w:szCs w:val="32"/>
          <w:lang w:val="en-US" w:eastAsia="zh-CN"/>
        </w:rPr>
        <w:t>总量控制指标：</w:t>
      </w:r>
      <w:r>
        <w:rPr>
          <w:rFonts w:hint="eastAsia" w:ascii="仿宋_GB2312" w:hAnsi="仿宋" w:eastAsia="仿宋_GB2312"/>
          <w:color w:val="auto"/>
          <w:kern w:val="2"/>
          <w:sz w:val="32"/>
          <w:szCs w:val="32"/>
          <w:lang w:val="en-US" w:eastAsia="zh-CN"/>
        </w:rPr>
        <w:t>二氧化硫</w:t>
      </w:r>
      <w:r>
        <w:rPr>
          <w:rFonts w:hint="default" w:ascii="仿宋_GB2312" w:hAnsi="仿宋" w:eastAsia="仿宋_GB2312"/>
          <w:color w:val="auto"/>
          <w:kern w:val="2"/>
          <w:sz w:val="32"/>
          <w:szCs w:val="32"/>
          <w:lang w:val="en-US" w:eastAsia="zh-CN"/>
        </w:rPr>
        <w:t>&lt;</w:t>
      </w:r>
      <w:r>
        <w:rPr>
          <w:rFonts w:hint="eastAsia" w:ascii="仿宋_GB2312" w:hAnsi="仿宋" w:eastAsia="仿宋_GB2312"/>
          <w:color w:val="auto"/>
          <w:kern w:val="2"/>
          <w:sz w:val="32"/>
          <w:szCs w:val="32"/>
          <w:lang w:val="en-US" w:eastAsia="zh-CN"/>
        </w:rPr>
        <w:t>0.011</w:t>
      </w:r>
      <w:r>
        <w:rPr>
          <w:rFonts w:hint="default" w:ascii="仿宋_GB2312" w:hAnsi="仿宋" w:eastAsia="仿宋_GB2312"/>
          <w:color w:val="auto"/>
          <w:kern w:val="2"/>
          <w:sz w:val="32"/>
          <w:szCs w:val="32"/>
          <w:lang w:val="en-US" w:eastAsia="zh-CN"/>
        </w:rPr>
        <w:t>吨/年，</w:t>
      </w:r>
      <w:r>
        <w:rPr>
          <w:rFonts w:hint="eastAsia" w:ascii="仿宋_GB2312" w:hAnsi="仿宋" w:eastAsia="仿宋_GB2312"/>
          <w:color w:val="auto"/>
          <w:kern w:val="2"/>
          <w:sz w:val="32"/>
          <w:szCs w:val="32"/>
          <w:lang w:val="en-US" w:eastAsia="zh-CN"/>
        </w:rPr>
        <w:t>氮氧化物</w:t>
      </w:r>
      <w:r>
        <w:rPr>
          <w:rFonts w:hint="default" w:ascii="仿宋_GB2312" w:hAnsi="仿宋" w:eastAsia="仿宋_GB2312"/>
          <w:color w:val="auto"/>
          <w:kern w:val="2"/>
          <w:sz w:val="32"/>
          <w:szCs w:val="32"/>
          <w:lang w:val="en-US" w:eastAsia="zh-CN"/>
        </w:rPr>
        <w:t>&lt;</w:t>
      </w:r>
      <w:r>
        <w:rPr>
          <w:rFonts w:hint="eastAsia" w:ascii="仿宋_GB2312" w:hAnsi="仿宋" w:eastAsia="仿宋_GB2312"/>
          <w:color w:val="auto"/>
          <w:kern w:val="2"/>
          <w:sz w:val="32"/>
          <w:szCs w:val="32"/>
          <w:lang w:val="en-US" w:eastAsia="zh-CN"/>
        </w:rPr>
        <w:t>0.069</w:t>
      </w:r>
      <w:r>
        <w:rPr>
          <w:rFonts w:hint="default" w:ascii="仿宋_GB2312" w:hAnsi="仿宋" w:eastAsia="仿宋_GB2312"/>
          <w:color w:val="auto"/>
          <w:kern w:val="2"/>
          <w:sz w:val="32"/>
          <w:szCs w:val="32"/>
          <w:lang w:val="en-US" w:eastAsia="zh-CN"/>
        </w:rPr>
        <w:t>吨/年。</w:t>
      </w:r>
      <w:r>
        <w:rPr>
          <w:rFonts w:hint="eastAsia" w:ascii="仿宋_GB2312" w:hAnsi="仿宋" w:eastAsia="仿宋_GB2312"/>
          <w:color w:val="auto"/>
          <w:kern w:val="2"/>
          <w:sz w:val="32"/>
          <w:szCs w:val="32"/>
          <w:lang w:val="en-US" w:eastAsia="zh-CN"/>
        </w:rPr>
        <w:t>以上所需总量指标在取得排污许可证前应由常德市生态环境事务中心进行交易并确认。项目新增总量严格实施倍量削减替代，新增总量倍量削减替代须来自项目所在传统工业升级园区，确保项目所在区域传统工业升级园区不新增大气污染物排放。建设单位在投产之前，需提交经属地生态环境部门、市生态环境局大气科认定的新增污染物总量削减替代方案及落实情况证明材料。</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lang w:val="en-US" w:eastAsia="zh-CN"/>
        </w:rPr>
        <w:t>五、《报告表</w:t>
      </w:r>
      <w:r>
        <w:rPr>
          <w:rFonts w:hint="eastAsia" w:ascii="仿宋_GB2312" w:hAnsi="仿宋" w:eastAsia="仿宋_GB2312"/>
          <w:color w:val="auto"/>
          <w:kern w:val="2"/>
          <w:sz w:val="32"/>
          <w:szCs w:val="32"/>
        </w:rPr>
        <w:t>》经批复后，项目的性质、规模、地点、采用的生产工艺或者防治污染、防止生态破坏的措施发生重大变动的，应当重新报批项目环境影响评价文件。自批复之日起超过五年</w:t>
      </w:r>
      <w:r>
        <w:rPr>
          <w:rFonts w:hint="eastAsia" w:ascii="仿宋_GB2312" w:hAnsi="仿宋" w:eastAsia="仿宋_GB2312"/>
          <w:color w:val="auto"/>
          <w:kern w:val="2"/>
          <w:sz w:val="32"/>
          <w:szCs w:val="32"/>
          <w:lang w:eastAsia="zh-CN"/>
        </w:rPr>
        <w:t>，</w:t>
      </w:r>
      <w:r>
        <w:rPr>
          <w:rFonts w:hint="eastAsia" w:ascii="仿宋_GB2312" w:hAnsi="仿宋" w:eastAsia="仿宋_GB2312"/>
          <w:color w:val="auto"/>
          <w:kern w:val="2"/>
          <w:sz w:val="32"/>
          <w:szCs w:val="32"/>
        </w:rPr>
        <w:t>方决定建设项目开工建设的，其环境影响评价文件应报我局重新审核。</w:t>
      </w:r>
      <w:r>
        <w:rPr>
          <w:rFonts w:hint="eastAsia" w:ascii="仿宋_GB2312" w:hAnsi="仿宋" w:eastAsia="仿宋_GB2312"/>
          <w:color w:val="auto"/>
          <w:kern w:val="2"/>
          <w:sz w:val="32"/>
          <w:szCs w:val="32"/>
          <w:lang w:val="en-US" w:eastAsia="zh-CN"/>
        </w:rPr>
        <w:t>本项目建设、运行依法需要其他行政许可的，你单位应按规定及时办理并取得其他行政许可。</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lang w:eastAsia="zh-CN"/>
        </w:rPr>
        <w:t>六</w:t>
      </w:r>
      <w:r>
        <w:rPr>
          <w:rFonts w:hint="eastAsia" w:ascii="仿宋_GB2312" w:hAnsi="仿宋" w:eastAsia="仿宋_GB2312"/>
          <w:color w:val="auto"/>
          <w:kern w:val="2"/>
          <w:sz w:val="32"/>
          <w:szCs w:val="32"/>
        </w:rPr>
        <w:t>、项目建成后，在实际排污之前须完善排污许可相关手续，并严格按规定程序实施竣工环境保护验收。</w:t>
      </w:r>
    </w:p>
    <w:p>
      <w:pPr>
        <w:widowControl w:val="0"/>
        <w:spacing w:after="0" w:line="560" w:lineRule="exact"/>
        <w:ind w:firstLine="640" w:firstLineChars="200"/>
        <w:jc w:val="both"/>
        <w:rPr>
          <w:rFonts w:hint="eastAsia" w:ascii="仿宋_GB2312" w:hAnsi="仿宋" w:eastAsia="仿宋_GB2312"/>
          <w:color w:val="auto"/>
          <w:kern w:val="2"/>
          <w:sz w:val="32"/>
          <w:szCs w:val="32"/>
        </w:rPr>
      </w:pPr>
      <w:r>
        <w:rPr>
          <w:rFonts w:hint="eastAsia" w:ascii="仿宋_GB2312" w:hAnsi="仿宋" w:eastAsia="仿宋_GB2312"/>
          <w:color w:val="auto"/>
          <w:kern w:val="2"/>
          <w:sz w:val="32"/>
          <w:szCs w:val="32"/>
          <w:lang w:eastAsia="zh-CN"/>
        </w:rPr>
        <w:t>七</w:t>
      </w:r>
      <w:r>
        <w:rPr>
          <w:rFonts w:hint="eastAsia" w:ascii="仿宋_GB2312" w:hAnsi="仿宋" w:eastAsia="仿宋_GB2312"/>
          <w:color w:val="auto"/>
          <w:kern w:val="2"/>
          <w:sz w:val="32"/>
          <w:szCs w:val="32"/>
        </w:rPr>
        <w:t>、项目的环保“三同时”执行情况的监督检查和日常环境管理工作按属地管理原则由常德市生态环境局</w:t>
      </w:r>
      <w:r>
        <w:rPr>
          <w:rFonts w:hint="eastAsia" w:ascii="仿宋_GB2312" w:hAnsi="仿宋" w:eastAsia="仿宋_GB2312"/>
          <w:color w:val="auto"/>
          <w:kern w:val="2"/>
          <w:sz w:val="32"/>
          <w:szCs w:val="32"/>
          <w:lang w:eastAsia="zh-CN"/>
        </w:rPr>
        <w:t>鼎城</w:t>
      </w:r>
      <w:r>
        <w:rPr>
          <w:rFonts w:hint="eastAsia" w:ascii="仿宋_GB2312" w:hAnsi="仿宋" w:eastAsia="仿宋_GB2312"/>
          <w:color w:val="auto"/>
          <w:kern w:val="2"/>
          <w:sz w:val="32"/>
          <w:szCs w:val="32"/>
        </w:rPr>
        <w:t>分局具体负责。</w:t>
      </w:r>
    </w:p>
    <w:p>
      <w:pPr>
        <w:widowControl w:val="0"/>
        <w:spacing w:after="0" w:line="560" w:lineRule="exact"/>
        <w:ind w:firstLine="640" w:firstLineChars="200"/>
        <w:jc w:val="both"/>
        <w:rPr>
          <w:rFonts w:hint="eastAsia" w:ascii="仿宋_GB2312" w:hAnsi="仿宋" w:eastAsia="仿宋_GB2312"/>
          <w:color w:val="auto"/>
          <w:kern w:val="2"/>
          <w:sz w:val="32"/>
          <w:szCs w:val="32"/>
        </w:rPr>
      </w:pPr>
    </w:p>
    <w:p>
      <w:pPr>
        <w:widowControl w:val="0"/>
        <w:spacing w:after="0" w:line="560" w:lineRule="exact"/>
        <w:ind w:firstLine="640" w:firstLineChars="200"/>
        <w:jc w:val="both"/>
        <w:rPr>
          <w:rFonts w:hint="eastAsia" w:ascii="仿宋_GB2312" w:hAnsi="仿宋" w:eastAsia="仿宋_GB2312"/>
          <w:color w:val="auto"/>
          <w:kern w:val="2"/>
          <w:sz w:val="32"/>
          <w:szCs w:val="32"/>
        </w:rPr>
      </w:pPr>
    </w:p>
    <w:p>
      <w:pPr>
        <w:widowControl w:val="0"/>
        <w:spacing w:after="0" w:line="560" w:lineRule="exact"/>
        <w:ind w:firstLine="640" w:firstLineChars="200"/>
        <w:jc w:val="both"/>
        <w:rPr>
          <w:rFonts w:hint="eastAsia" w:ascii="仿宋_GB2312" w:hAnsi="仿宋" w:eastAsia="仿宋_GB2312"/>
          <w:color w:val="auto"/>
          <w:kern w:val="2"/>
          <w:sz w:val="32"/>
          <w:szCs w:val="32"/>
        </w:rPr>
      </w:pPr>
    </w:p>
    <w:p>
      <w:pPr>
        <w:spacing w:after="0" w:line="560" w:lineRule="exact"/>
        <w:rPr>
          <w:rFonts w:hint="eastAsia" w:ascii="仿宋_GB2312" w:eastAsia="仿宋_GB2312"/>
          <w:color w:val="auto"/>
          <w:sz w:val="32"/>
          <w:szCs w:val="32"/>
        </w:rPr>
      </w:pPr>
    </w:p>
    <w:p>
      <w:pPr>
        <w:spacing w:after="0" w:line="560" w:lineRule="exact"/>
        <w:ind w:firstLine="5385" w:firstLineChars="1683"/>
        <w:rPr>
          <w:rFonts w:ascii="仿宋_GB2312" w:eastAsia="仿宋_GB2312"/>
          <w:color w:val="auto"/>
          <w:sz w:val="32"/>
          <w:szCs w:val="32"/>
        </w:rPr>
      </w:pPr>
      <w:r>
        <w:rPr>
          <w:rFonts w:hint="eastAsia" w:ascii="仿宋_GB2312" w:eastAsia="仿宋_GB2312"/>
          <w:color w:val="auto"/>
          <w:sz w:val="32"/>
          <w:szCs w:val="32"/>
        </w:rPr>
        <w:t>常德市生态环境局</w:t>
      </w:r>
    </w:p>
    <w:p>
      <w:pPr>
        <w:widowControl w:val="0"/>
        <w:spacing w:after="0" w:line="560" w:lineRule="exact"/>
        <w:ind w:firstLine="5385" w:firstLineChars="1683"/>
        <w:rPr>
          <w:rFonts w:hint="eastAsia" w:ascii="仿宋_GB2312" w:eastAsia="仿宋_GB2312"/>
          <w:color w:val="auto"/>
          <w:sz w:val="32"/>
          <w:szCs w:val="32"/>
        </w:rPr>
      </w:pP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年</w:t>
      </w:r>
      <w:r>
        <w:rPr>
          <w:rFonts w:hint="default" w:ascii="仿宋_GB2312" w:eastAsia="仿宋_GB2312"/>
          <w:color w:val="auto"/>
          <w:sz w:val="32"/>
          <w:szCs w:val="32"/>
          <w:lang w:val="en-US"/>
        </w:rPr>
        <w:t>7</w:t>
      </w:r>
      <w:r>
        <w:rPr>
          <w:rFonts w:hint="eastAsia" w:ascii="仿宋_GB2312" w:eastAsia="仿宋_GB2312"/>
          <w:color w:val="auto"/>
          <w:sz w:val="32"/>
          <w:szCs w:val="32"/>
        </w:rPr>
        <w:t>月</w:t>
      </w:r>
      <w:r>
        <w:rPr>
          <w:rFonts w:hint="default" w:ascii="仿宋_GB2312" w:eastAsia="仿宋_GB2312"/>
          <w:color w:val="auto"/>
          <w:sz w:val="32"/>
          <w:szCs w:val="32"/>
          <w:lang w:val="en-US"/>
        </w:rPr>
        <w:t>16</w:t>
      </w:r>
      <w:r>
        <w:rPr>
          <w:rFonts w:hint="eastAsia" w:ascii="仿宋_GB2312" w:eastAsia="仿宋_GB2312"/>
          <w:color w:val="auto"/>
          <w:sz w:val="32"/>
          <w:szCs w:val="32"/>
        </w:rPr>
        <w:t>日</w:t>
      </w:r>
    </w:p>
    <w:p>
      <w:pPr>
        <w:widowControl w:val="0"/>
        <w:spacing w:after="0" w:line="560" w:lineRule="exact"/>
        <w:ind w:firstLine="5385" w:firstLineChars="1683"/>
        <w:rPr>
          <w:rFonts w:hint="eastAsia" w:ascii="仿宋_GB2312" w:eastAsia="仿宋_GB2312"/>
          <w:color w:val="auto"/>
          <w:sz w:val="32"/>
          <w:szCs w:val="32"/>
        </w:rPr>
      </w:pPr>
    </w:p>
    <w:p>
      <w:pPr>
        <w:widowControl w:val="0"/>
        <w:spacing w:after="0" w:line="560" w:lineRule="exact"/>
        <w:ind w:firstLine="5385" w:firstLineChars="1683"/>
        <w:rPr>
          <w:rFonts w:hint="eastAsia" w:ascii="仿宋_GB2312" w:eastAsia="仿宋_GB2312"/>
          <w:color w:val="auto"/>
          <w:sz w:val="32"/>
          <w:szCs w:val="32"/>
        </w:rPr>
      </w:pPr>
    </w:p>
    <w:p>
      <w:pPr>
        <w:widowControl w:val="0"/>
        <w:spacing w:after="0" w:line="560" w:lineRule="exact"/>
        <w:ind w:firstLine="5385" w:firstLineChars="1683"/>
        <w:rPr>
          <w:rFonts w:hint="eastAsia" w:ascii="仿宋_GB2312" w:eastAsia="仿宋_GB2312"/>
          <w:color w:val="auto"/>
          <w:sz w:val="32"/>
          <w:szCs w:val="32"/>
        </w:rPr>
      </w:pPr>
    </w:p>
    <w:p>
      <w:pPr>
        <w:pStyle w:val="7"/>
        <w:ind w:left="0" w:leftChars="0" w:firstLine="0" w:firstLineChars="0"/>
      </w:pPr>
    </w:p>
    <w:p>
      <w:pPr>
        <w:widowControl w:val="0"/>
        <w:pBdr>
          <w:top w:val="single" w:color="auto" w:sz="4" w:space="1"/>
          <w:bottom w:val="single" w:color="auto" w:sz="4" w:space="1"/>
        </w:pBdr>
        <w:autoSpaceDE w:val="0"/>
        <w:autoSpaceDN w:val="0"/>
        <w:snapToGrid/>
        <w:spacing w:after="0" w:line="520" w:lineRule="exact"/>
        <w:jc w:val="both"/>
        <w:rPr>
          <w:rFonts w:hint="eastAsia" w:ascii="仿宋_GB2312" w:hAnsi="仿宋" w:eastAsia="仿宋_GB2312"/>
          <w:color w:val="auto"/>
          <w:spacing w:val="-6"/>
          <w:sz w:val="28"/>
          <w:szCs w:val="28"/>
          <w:lang w:val="en-GB"/>
        </w:rPr>
      </w:pPr>
      <w:r>
        <w:rPr>
          <w:rFonts w:hint="eastAsia" w:ascii="仿宋_GB2312" w:hAnsi="Times New Roman" w:eastAsia="仿宋_GB2312" w:cs="黑体"/>
          <w:color w:val="auto"/>
          <w:spacing w:val="-6"/>
          <w:sz w:val="28"/>
          <w:szCs w:val="28"/>
        </w:rPr>
        <w:t>抄送：</w:t>
      </w:r>
      <w:r>
        <w:rPr>
          <w:rFonts w:hint="eastAsia" w:ascii="仿宋_GB2312" w:hAnsi="仿宋" w:eastAsia="仿宋_GB2312"/>
          <w:color w:val="auto"/>
          <w:spacing w:val="-6"/>
          <w:sz w:val="28"/>
          <w:szCs w:val="28"/>
          <w:lang w:val="en-GB"/>
        </w:rPr>
        <w:t>常德市生态环境局</w:t>
      </w:r>
      <w:r>
        <w:rPr>
          <w:rFonts w:hint="eastAsia" w:ascii="仿宋_GB2312" w:hAnsi="仿宋" w:eastAsia="仿宋_GB2312"/>
          <w:color w:val="auto"/>
          <w:spacing w:val="-6"/>
          <w:sz w:val="28"/>
          <w:szCs w:val="28"/>
          <w:lang w:val="en-GB" w:eastAsia="zh-CN"/>
        </w:rPr>
        <w:t>鼎城</w:t>
      </w:r>
      <w:r>
        <w:rPr>
          <w:rFonts w:hint="eastAsia" w:ascii="仿宋_GB2312" w:hAnsi="仿宋" w:eastAsia="仿宋_GB2312"/>
          <w:color w:val="auto"/>
          <w:spacing w:val="-6"/>
          <w:sz w:val="28"/>
          <w:szCs w:val="28"/>
          <w:lang w:val="en-GB"/>
        </w:rPr>
        <w:t>分局、</w:t>
      </w:r>
      <w:r>
        <w:rPr>
          <w:rFonts w:hint="eastAsia" w:ascii="仿宋_GB2312" w:hAnsi="仿宋" w:eastAsia="仿宋_GB2312"/>
          <w:color w:val="auto"/>
          <w:spacing w:val="-6"/>
          <w:sz w:val="28"/>
          <w:szCs w:val="28"/>
          <w:lang w:val="en-GB" w:eastAsia="zh-CN"/>
        </w:rPr>
        <w:t>湖南志远环境咨询服务</w:t>
      </w:r>
      <w:r>
        <w:rPr>
          <w:rFonts w:hint="eastAsia" w:ascii="仿宋_GB2312" w:hAnsi="仿宋" w:eastAsia="仿宋_GB2312"/>
          <w:color w:val="auto"/>
          <w:spacing w:val="-6"/>
          <w:sz w:val="28"/>
          <w:szCs w:val="28"/>
        </w:rPr>
        <w:t>有限公司</w:t>
      </w:r>
    </w:p>
    <w:sectPr>
      <w:headerReference r:id="rId4" w:type="default"/>
      <w:footerReference r:id="rId5" w:type="default"/>
      <w:footerReference r:id="rId6" w:type="even"/>
      <w:pgSz w:w="11906" w:h="16838"/>
      <w:pgMar w:top="2098" w:right="1474" w:bottom="1701" w:left="1588" w:header="709" w:footer="709" w:gutter="0"/>
      <w:pgNumType w:fmt="numberInDash"/>
      <w:cols w:space="708"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embedRegular r:id="rId1" w:fontKey="{6F124EBD-FDC1-4C50-B790-EA00DB766DE0}"/>
  </w:font>
  <w:font w:name="宋体">
    <w:panose1 w:val="02010600030101010101"/>
    <w:charset w:val="50"/>
    <w:family w:val="auto"/>
    <w:pitch w:val="default"/>
    <w:sig w:usb0="00000203" w:usb1="288F0000" w:usb2="00000006" w:usb3="00000000" w:csb0="00040001" w:csb1="00000000"/>
    <w:embedRegular r:id="rId2" w:fontKey="{9A0A1379-7B9E-4F76-8B15-8FD48ADD0ECD}"/>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3" w:fontKey="{105FC504-74AB-46D5-BE43-A4D3B4EF62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roman"/>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4" w:fontKey="{11D97A36-D035-4F51-AA52-DCB91034D66D}"/>
  </w:font>
  <w:font w:name="仿宋">
    <w:panose1 w:val="02010609060101010101"/>
    <w:charset w:val="86"/>
    <w:family w:val="auto"/>
    <w:pitch w:val="default"/>
    <w:sig w:usb0="800002BF" w:usb1="38CF7CFA" w:usb2="00000016" w:usb3="00000000" w:csb0="00040001" w:csb1="00000000"/>
    <w:embedRegular r:id="rId5" w:fontKey="{A9EB5526-C23E-4560-BC93-5F72F25053D6}"/>
  </w:font>
  <w:font w:name="方正小标宋简体">
    <w:altName w:val="方正舒体"/>
    <w:panose1 w:val="02000000000000000000"/>
    <w:charset w:val="86"/>
    <w:family w:val="script"/>
    <w:pitch w:val="default"/>
    <w:sig w:usb0="00000000" w:usb1="00000000" w:usb2="00000012" w:usb3="00000000" w:csb0="00040001" w:csb1="00000000"/>
    <w:embedRegular r:id="rId6" w:fontKey="{32F9253B-DC73-428B-A478-D590551F6B09}"/>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4"/>
        <w:szCs w:val="24"/>
      </w:rPr>
    </w:sdtEndPr>
    <w:sdtContent>
      <w:p>
        <w:pPr>
          <w:pStyle w:val="10"/>
          <w:jc w:val="right"/>
          <w:rPr>
            <w:rFonts w:hint="eastAsia" w:ascii="宋体" w:hAnsi="宋体" w:eastAsia="宋体"/>
            <w:sz w:val="24"/>
            <w:szCs w:val="24"/>
          </w:rPr>
        </w:pPr>
        <w:r>
          <w:rPr>
            <w:rFonts w:ascii="宋体" w:hAnsi="宋体" w:eastAsia="宋体"/>
            <w:sz w:val="24"/>
            <w:szCs w:val="24"/>
          </w:rPr>
          <w:fldChar w:fldCharType="begin"/>
        </w:r>
        <w:r>
          <w:rPr>
            <w:rFonts w:ascii="宋体" w:hAnsi="宋体" w:eastAsia="宋体"/>
            <w:sz w:val="24"/>
            <w:szCs w:val="24"/>
          </w:rPr>
          <w:instrText xml:space="preserve"> PAGE   \* MERGEFORMAT </w:instrText>
        </w:r>
        <w:r>
          <w:rPr>
            <w:rFonts w:ascii="宋体" w:hAnsi="宋体" w:eastAsia="宋体"/>
            <w:sz w:val="24"/>
            <w:szCs w:val="24"/>
          </w:rPr>
          <w:fldChar w:fldCharType="separate"/>
        </w:r>
        <w:r>
          <w:rPr>
            <w:rFonts w:ascii="宋体" w:hAnsi="宋体" w:eastAsia="宋体"/>
            <w:sz w:val="24"/>
            <w:szCs w:val="24"/>
            <w:lang w:val="zh-CN"/>
          </w:rPr>
          <w:t>-</w:t>
        </w:r>
        <w:r>
          <w:rPr>
            <w:rFonts w:ascii="宋体" w:hAnsi="宋体" w:eastAsia="宋体"/>
            <w:sz w:val="24"/>
            <w:szCs w:val="24"/>
          </w:rPr>
          <w:t xml:space="preserve"> 5 -</w:t>
        </w:r>
        <w:r>
          <w:rPr>
            <w:rFonts w:ascii="宋体" w:hAnsi="宋体" w:eastAsia="宋体"/>
            <w:sz w:val="24"/>
            <w:szCs w:val="24"/>
            <w:lang w:val="zh-CN"/>
          </w:rPr>
          <w:fldChar w:fldCharType="end"/>
        </w:r>
      </w:p>
    </w:sdtContent>
  </w:sdt>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4"/>
        <w:szCs w:val="24"/>
      </w:rPr>
    </w:sdtEndPr>
    <w:sdtContent>
      <w:p>
        <w:pPr>
          <w:pStyle w:val="10"/>
          <w:rPr>
            <w:rFonts w:hint="eastAsia" w:ascii="宋体" w:hAnsi="宋体" w:eastAsia="宋体"/>
            <w:sz w:val="24"/>
            <w:szCs w:val="24"/>
          </w:rPr>
        </w:pPr>
        <w:r>
          <w:rPr>
            <w:rFonts w:ascii="宋体" w:hAnsi="宋体" w:eastAsia="宋体"/>
            <w:sz w:val="24"/>
            <w:szCs w:val="24"/>
          </w:rPr>
          <w:fldChar w:fldCharType="begin"/>
        </w:r>
        <w:r>
          <w:rPr>
            <w:rFonts w:ascii="宋体" w:hAnsi="宋体" w:eastAsia="宋体"/>
            <w:sz w:val="24"/>
            <w:szCs w:val="24"/>
          </w:rPr>
          <w:instrText xml:space="preserve">PAGE   \* MERGEFORMAT</w:instrText>
        </w:r>
        <w:r>
          <w:rPr>
            <w:rFonts w:ascii="宋体" w:hAnsi="宋体" w:eastAsia="宋体"/>
            <w:sz w:val="24"/>
            <w:szCs w:val="24"/>
          </w:rPr>
          <w:fldChar w:fldCharType="separate"/>
        </w:r>
        <w:r>
          <w:rPr>
            <w:rFonts w:ascii="宋体" w:hAnsi="宋体" w:eastAsia="宋体"/>
            <w:sz w:val="24"/>
            <w:szCs w:val="24"/>
            <w:lang w:val="zh-CN"/>
          </w:rPr>
          <w:t>-</w:t>
        </w:r>
        <w:r>
          <w:rPr>
            <w:rFonts w:ascii="宋体" w:hAnsi="宋体" w:eastAsia="宋体"/>
            <w:sz w:val="24"/>
            <w:szCs w:val="24"/>
          </w:rPr>
          <w:t xml:space="preserve"> 2 -</w:t>
        </w:r>
        <w:r>
          <w:rPr>
            <w:rFonts w:ascii="宋体" w:hAnsi="宋体" w:eastAsia="宋体"/>
            <w:sz w:val="24"/>
            <w:szCs w:val="24"/>
          </w:rPr>
          <w:fldChar w:fldCharType="end"/>
        </w:r>
      </w:p>
    </w:sdtContent>
  </w:sdt>
  <w:p>
    <w:pPr>
      <w:pStyle w:val="10"/>
      <w:tabs>
        <w:tab w:val="left" w:pos="3583"/>
        <w:tab w:val="clear" w:pos="4153"/>
        <w:tab w:val="clear"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embedSystemFonts/>
  <w:saveSubsetFonts/>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footnotePr>
    <w:footnote w:id="0"/>
    <w:footnote w:id="1"/>
  </w:foot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wZDQ2ZDRjNTQyYzUxN2ZjYWQzZmQ1ZGZiMjhmOGQifQ=="/>
  </w:docVars>
  <w:rsids>
    <w:rsidRoot w:val="00D31D50"/>
    <w:rsid w:val="0000280A"/>
    <w:rsid w:val="00005413"/>
    <w:rsid w:val="00012362"/>
    <w:rsid w:val="0001427E"/>
    <w:rsid w:val="00022A11"/>
    <w:rsid w:val="000249F7"/>
    <w:rsid w:val="00024D52"/>
    <w:rsid w:val="000254A9"/>
    <w:rsid w:val="00027523"/>
    <w:rsid w:val="00027E6E"/>
    <w:rsid w:val="00031547"/>
    <w:rsid w:val="000324D7"/>
    <w:rsid w:val="00051B3B"/>
    <w:rsid w:val="00052BFB"/>
    <w:rsid w:val="0005327B"/>
    <w:rsid w:val="00055C50"/>
    <w:rsid w:val="000571D9"/>
    <w:rsid w:val="00073B94"/>
    <w:rsid w:val="00076703"/>
    <w:rsid w:val="0008272A"/>
    <w:rsid w:val="0008275C"/>
    <w:rsid w:val="000843F3"/>
    <w:rsid w:val="000A0196"/>
    <w:rsid w:val="000A2978"/>
    <w:rsid w:val="000A6602"/>
    <w:rsid w:val="000B2325"/>
    <w:rsid w:val="000B2A56"/>
    <w:rsid w:val="000B394E"/>
    <w:rsid w:val="000B3983"/>
    <w:rsid w:val="000B7D30"/>
    <w:rsid w:val="000C336A"/>
    <w:rsid w:val="000C430B"/>
    <w:rsid w:val="000C631C"/>
    <w:rsid w:val="000C6DD6"/>
    <w:rsid w:val="000D2384"/>
    <w:rsid w:val="000D48FD"/>
    <w:rsid w:val="000D75DF"/>
    <w:rsid w:val="000E58D6"/>
    <w:rsid w:val="000F33D8"/>
    <w:rsid w:val="000F4213"/>
    <w:rsid w:val="000F685C"/>
    <w:rsid w:val="000F718A"/>
    <w:rsid w:val="00100635"/>
    <w:rsid w:val="00100762"/>
    <w:rsid w:val="00101501"/>
    <w:rsid w:val="001035EB"/>
    <w:rsid w:val="00104A5A"/>
    <w:rsid w:val="00105AB6"/>
    <w:rsid w:val="00110277"/>
    <w:rsid w:val="001140FB"/>
    <w:rsid w:val="0011707B"/>
    <w:rsid w:val="00122553"/>
    <w:rsid w:val="001260DA"/>
    <w:rsid w:val="001304F9"/>
    <w:rsid w:val="00130E63"/>
    <w:rsid w:val="00133AC9"/>
    <w:rsid w:val="00142E89"/>
    <w:rsid w:val="00143619"/>
    <w:rsid w:val="001439ED"/>
    <w:rsid w:val="00151D7D"/>
    <w:rsid w:val="001525EC"/>
    <w:rsid w:val="00153701"/>
    <w:rsid w:val="0015379D"/>
    <w:rsid w:val="001539DB"/>
    <w:rsid w:val="001610A4"/>
    <w:rsid w:val="00162636"/>
    <w:rsid w:val="00162E95"/>
    <w:rsid w:val="00163C3A"/>
    <w:rsid w:val="001726CC"/>
    <w:rsid w:val="00173216"/>
    <w:rsid w:val="001737F0"/>
    <w:rsid w:val="001751C4"/>
    <w:rsid w:val="00177C02"/>
    <w:rsid w:val="00180543"/>
    <w:rsid w:val="001819D2"/>
    <w:rsid w:val="0018239D"/>
    <w:rsid w:val="00182E47"/>
    <w:rsid w:val="00182F81"/>
    <w:rsid w:val="0018618B"/>
    <w:rsid w:val="00186BC9"/>
    <w:rsid w:val="00187C0A"/>
    <w:rsid w:val="00190C48"/>
    <w:rsid w:val="001944D4"/>
    <w:rsid w:val="001A24D2"/>
    <w:rsid w:val="001A2683"/>
    <w:rsid w:val="001A3405"/>
    <w:rsid w:val="001A56EB"/>
    <w:rsid w:val="001A58B1"/>
    <w:rsid w:val="001A6E2B"/>
    <w:rsid w:val="001B2565"/>
    <w:rsid w:val="001B5220"/>
    <w:rsid w:val="001C19D7"/>
    <w:rsid w:val="001C4911"/>
    <w:rsid w:val="001D187F"/>
    <w:rsid w:val="001D1A0D"/>
    <w:rsid w:val="001D1FA4"/>
    <w:rsid w:val="001D410B"/>
    <w:rsid w:val="001D52B6"/>
    <w:rsid w:val="001F0BC1"/>
    <w:rsid w:val="001F1C9F"/>
    <w:rsid w:val="001F3998"/>
    <w:rsid w:val="001F4042"/>
    <w:rsid w:val="001F5E9A"/>
    <w:rsid w:val="001F7044"/>
    <w:rsid w:val="00200BA1"/>
    <w:rsid w:val="002026FD"/>
    <w:rsid w:val="00203027"/>
    <w:rsid w:val="0020529E"/>
    <w:rsid w:val="00205699"/>
    <w:rsid w:val="0020595D"/>
    <w:rsid w:val="00205AF0"/>
    <w:rsid w:val="00205C21"/>
    <w:rsid w:val="00206E20"/>
    <w:rsid w:val="0020749E"/>
    <w:rsid w:val="00210090"/>
    <w:rsid w:val="002117F5"/>
    <w:rsid w:val="00212028"/>
    <w:rsid w:val="0021343E"/>
    <w:rsid w:val="002141F4"/>
    <w:rsid w:val="00214F33"/>
    <w:rsid w:val="0023404C"/>
    <w:rsid w:val="00234ACF"/>
    <w:rsid w:val="0024513E"/>
    <w:rsid w:val="00246BCA"/>
    <w:rsid w:val="00247739"/>
    <w:rsid w:val="0025367B"/>
    <w:rsid w:val="002539C1"/>
    <w:rsid w:val="00253A87"/>
    <w:rsid w:val="00263EB2"/>
    <w:rsid w:val="002652BB"/>
    <w:rsid w:val="00271B6C"/>
    <w:rsid w:val="00272957"/>
    <w:rsid w:val="0027504E"/>
    <w:rsid w:val="00282F43"/>
    <w:rsid w:val="002869A0"/>
    <w:rsid w:val="0029493A"/>
    <w:rsid w:val="00295320"/>
    <w:rsid w:val="00295C1F"/>
    <w:rsid w:val="00295CF8"/>
    <w:rsid w:val="002A1CA9"/>
    <w:rsid w:val="002A3988"/>
    <w:rsid w:val="002B5163"/>
    <w:rsid w:val="002B5740"/>
    <w:rsid w:val="002C5AC4"/>
    <w:rsid w:val="002C613C"/>
    <w:rsid w:val="002D2D60"/>
    <w:rsid w:val="002D341E"/>
    <w:rsid w:val="002D5D7E"/>
    <w:rsid w:val="002E1CE2"/>
    <w:rsid w:val="002E6C4B"/>
    <w:rsid w:val="002F20CF"/>
    <w:rsid w:val="002F230E"/>
    <w:rsid w:val="002F234F"/>
    <w:rsid w:val="002F468C"/>
    <w:rsid w:val="003072CB"/>
    <w:rsid w:val="00310EBE"/>
    <w:rsid w:val="00312153"/>
    <w:rsid w:val="0032202C"/>
    <w:rsid w:val="00322A99"/>
    <w:rsid w:val="00322D81"/>
    <w:rsid w:val="00323B43"/>
    <w:rsid w:val="00324F1C"/>
    <w:rsid w:val="00325DA9"/>
    <w:rsid w:val="003271FD"/>
    <w:rsid w:val="00327C34"/>
    <w:rsid w:val="0033065C"/>
    <w:rsid w:val="00331D0A"/>
    <w:rsid w:val="00336368"/>
    <w:rsid w:val="00341FEC"/>
    <w:rsid w:val="0034256F"/>
    <w:rsid w:val="00344077"/>
    <w:rsid w:val="00344088"/>
    <w:rsid w:val="00344EE4"/>
    <w:rsid w:val="00345664"/>
    <w:rsid w:val="00347B05"/>
    <w:rsid w:val="0035069F"/>
    <w:rsid w:val="00351009"/>
    <w:rsid w:val="003519E1"/>
    <w:rsid w:val="00354059"/>
    <w:rsid w:val="00355AD9"/>
    <w:rsid w:val="00356F68"/>
    <w:rsid w:val="00362D5C"/>
    <w:rsid w:val="00363B46"/>
    <w:rsid w:val="00366CF8"/>
    <w:rsid w:val="00372E0F"/>
    <w:rsid w:val="00373DFE"/>
    <w:rsid w:val="00374BA7"/>
    <w:rsid w:val="00377A8F"/>
    <w:rsid w:val="0038065A"/>
    <w:rsid w:val="003807AF"/>
    <w:rsid w:val="00383C37"/>
    <w:rsid w:val="00386674"/>
    <w:rsid w:val="003869F6"/>
    <w:rsid w:val="00392EF8"/>
    <w:rsid w:val="00394CAD"/>
    <w:rsid w:val="00395B58"/>
    <w:rsid w:val="0039781C"/>
    <w:rsid w:val="003A0B12"/>
    <w:rsid w:val="003A65D5"/>
    <w:rsid w:val="003B00BE"/>
    <w:rsid w:val="003B42A0"/>
    <w:rsid w:val="003B55E7"/>
    <w:rsid w:val="003B5AED"/>
    <w:rsid w:val="003B7935"/>
    <w:rsid w:val="003C136C"/>
    <w:rsid w:val="003C5250"/>
    <w:rsid w:val="003C790B"/>
    <w:rsid w:val="003C79D5"/>
    <w:rsid w:val="003D2635"/>
    <w:rsid w:val="003D37D8"/>
    <w:rsid w:val="003D49DE"/>
    <w:rsid w:val="003D4CE9"/>
    <w:rsid w:val="003E0DB3"/>
    <w:rsid w:val="003E1528"/>
    <w:rsid w:val="003E4089"/>
    <w:rsid w:val="003E5E59"/>
    <w:rsid w:val="003F2A20"/>
    <w:rsid w:val="003F3640"/>
    <w:rsid w:val="003F4D30"/>
    <w:rsid w:val="00402DBD"/>
    <w:rsid w:val="00406F5B"/>
    <w:rsid w:val="0041073B"/>
    <w:rsid w:val="00411BC5"/>
    <w:rsid w:val="004167B9"/>
    <w:rsid w:val="00416868"/>
    <w:rsid w:val="00424512"/>
    <w:rsid w:val="00425410"/>
    <w:rsid w:val="00426133"/>
    <w:rsid w:val="0042797C"/>
    <w:rsid w:val="004358AB"/>
    <w:rsid w:val="0044628F"/>
    <w:rsid w:val="0044665A"/>
    <w:rsid w:val="004479DB"/>
    <w:rsid w:val="004500AA"/>
    <w:rsid w:val="00450988"/>
    <w:rsid w:val="004523FE"/>
    <w:rsid w:val="00453944"/>
    <w:rsid w:val="00453F6D"/>
    <w:rsid w:val="00454AA7"/>
    <w:rsid w:val="004570F4"/>
    <w:rsid w:val="00462572"/>
    <w:rsid w:val="004633F0"/>
    <w:rsid w:val="00463F7C"/>
    <w:rsid w:val="00470D65"/>
    <w:rsid w:val="00474595"/>
    <w:rsid w:val="00474B0E"/>
    <w:rsid w:val="00475603"/>
    <w:rsid w:val="00481A45"/>
    <w:rsid w:val="00483FE2"/>
    <w:rsid w:val="0048416A"/>
    <w:rsid w:val="0048447C"/>
    <w:rsid w:val="00485458"/>
    <w:rsid w:val="0048736E"/>
    <w:rsid w:val="0049159A"/>
    <w:rsid w:val="004A235A"/>
    <w:rsid w:val="004A6F9F"/>
    <w:rsid w:val="004B00BB"/>
    <w:rsid w:val="004B3F43"/>
    <w:rsid w:val="004B49B4"/>
    <w:rsid w:val="004B5D4E"/>
    <w:rsid w:val="004B5E6B"/>
    <w:rsid w:val="004B6FF4"/>
    <w:rsid w:val="004B76FF"/>
    <w:rsid w:val="004C3A20"/>
    <w:rsid w:val="004C69C6"/>
    <w:rsid w:val="004D3F39"/>
    <w:rsid w:val="004E249A"/>
    <w:rsid w:val="004E523F"/>
    <w:rsid w:val="004E5B86"/>
    <w:rsid w:val="004F2D87"/>
    <w:rsid w:val="004F3C4D"/>
    <w:rsid w:val="004F4F4B"/>
    <w:rsid w:val="004F5234"/>
    <w:rsid w:val="004F6D0A"/>
    <w:rsid w:val="004F71D0"/>
    <w:rsid w:val="0050043C"/>
    <w:rsid w:val="005012E2"/>
    <w:rsid w:val="00501CB5"/>
    <w:rsid w:val="005145B2"/>
    <w:rsid w:val="005153D8"/>
    <w:rsid w:val="00516D1E"/>
    <w:rsid w:val="005220EB"/>
    <w:rsid w:val="0052444F"/>
    <w:rsid w:val="00526579"/>
    <w:rsid w:val="00530C32"/>
    <w:rsid w:val="0053125B"/>
    <w:rsid w:val="00531736"/>
    <w:rsid w:val="00531EF4"/>
    <w:rsid w:val="005423D4"/>
    <w:rsid w:val="00547B28"/>
    <w:rsid w:val="00550284"/>
    <w:rsid w:val="0055058A"/>
    <w:rsid w:val="005519EE"/>
    <w:rsid w:val="00551C81"/>
    <w:rsid w:val="00552584"/>
    <w:rsid w:val="00553D6B"/>
    <w:rsid w:val="0055729E"/>
    <w:rsid w:val="00563094"/>
    <w:rsid w:val="0056403B"/>
    <w:rsid w:val="005735CB"/>
    <w:rsid w:val="00575381"/>
    <w:rsid w:val="005766AC"/>
    <w:rsid w:val="005809FC"/>
    <w:rsid w:val="005842E6"/>
    <w:rsid w:val="00584499"/>
    <w:rsid w:val="00587048"/>
    <w:rsid w:val="00587886"/>
    <w:rsid w:val="00591289"/>
    <w:rsid w:val="005A1E01"/>
    <w:rsid w:val="005A259B"/>
    <w:rsid w:val="005A75E9"/>
    <w:rsid w:val="005B2E31"/>
    <w:rsid w:val="005B78D6"/>
    <w:rsid w:val="005C5AA1"/>
    <w:rsid w:val="005D0F2C"/>
    <w:rsid w:val="005D2F9C"/>
    <w:rsid w:val="005D35DE"/>
    <w:rsid w:val="005D5059"/>
    <w:rsid w:val="005D6E7A"/>
    <w:rsid w:val="005E1CFB"/>
    <w:rsid w:val="005E569D"/>
    <w:rsid w:val="005F51E0"/>
    <w:rsid w:val="005F66D1"/>
    <w:rsid w:val="0060029F"/>
    <w:rsid w:val="00610443"/>
    <w:rsid w:val="00612746"/>
    <w:rsid w:val="006159AE"/>
    <w:rsid w:val="00616E3C"/>
    <w:rsid w:val="00621C39"/>
    <w:rsid w:val="00622B52"/>
    <w:rsid w:val="00623219"/>
    <w:rsid w:val="00624147"/>
    <w:rsid w:val="00624D43"/>
    <w:rsid w:val="0062532D"/>
    <w:rsid w:val="0062599D"/>
    <w:rsid w:val="006328D4"/>
    <w:rsid w:val="00633819"/>
    <w:rsid w:val="006373CA"/>
    <w:rsid w:val="00640C65"/>
    <w:rsid w:val="00642C25"/>
    <w:rsid w:val="00642D95"/>
    <w:rsid w:val="00663EC7"/>
    <w:rsid w:val="006711AE"/>
    <w:rsid w:val="00672B2B"/>
    <w:rsid w:val="006746D8"/>
    <w:rsid w:val="00675448"/>
    <w:rsid w:val="00675C01"/>
    <w:rsid w:val="00676CB1"/>
    <w:rsid w:val="00686446"/>
    <w:rsid w:val="00687E6C"/>
    <w:rsid w:val="00694F89"/>
    <w:rsid w:val="00696215"/>
    <w:rsid w:val="0069680E"/>
    <w:rsid w:val="0069688C"/>
    <w:rsid w:val="0069723A"/>
    <w:rsid w:val="006A0A4C"/>
    <w:rsid w:val="006A10A2"/>
    <w:rsid w:val="006A548A"/>
    <w:rsid w:val="006B274E"/>
    <w:rsid w:val="006B360C"/>
    <w:rsid w:val="006B68D3"/>
    <w:rsid w:val="006C07F6"/>
    <w:rsid w:val="006C18EE"/>
    <w:rsid w:val="006C1F86"/>
    <w:rsid w:val="006C334F"/>
    <w:rsid w:val="006C4871"/>
    <w:rsid w:val="006D0EEF"/>
    <w:rsid w:val="006D0FC0"/>
    <w:rsid w:val="006D123A"/>
    <w:rsid w:val="006D26A5"/>
    <w:rsid w:val="006D2BE2"/>
    <w:rsid w:val="006D4391"/>
    <w:rsid w:val="006D4783"/>
    <w:rsid w:val="006D4AAB"/>
    <w:rsid w:val="006D5D7A"/>
    <w:rsid w:val="006D5E09"/>
    <w:rsid w:val="006D6D9E"/>
    <w:rsid w:val="006D710A"/>
    <w:rsid w:val="006E06EE"/>
    <w:rsid w:val="006E2B24"/>
    <w:rsid w:val="006E2E1D"/>
    <w:rsid w:val="006E4DDC"/>
    <w:rsid w:val="006F41AA"/>
    <w:rsid w:val="006F5C7E"/>
    <w:rsid w:val="006F5D63"/>
    <w:rsid w:val="006F6228"/>
    <w:rsid w:val="00700F51"/>
    <w:rsid w:val="00700F5D"/>
    <w:rsid w:val="00703F64"/>
    <w:rsid w:val="0070712E"/>
    <w:rsid w:val="0071078E"/>
    <w:rsid w:val="00710950"/>
    <w:rsid w:val="0071445B"/>
    <w:rsid w:val="00714D9E"/>
    <w:rsid w:val="00715E23"/>
    <w:rsid w:val="007163FA"/>
    <w:rsid w:val="007169E6"/>
    <w:rsid w:val="00720EFF"/>
    <w:rsid w:val="00723C16"/>
    <w:rsid w:val="00727E1B"/>
    <w:rsid w:val="00727EDF"/>
    <w:rsid w:val="007334BA"/>
    <w:rsid w:val="00736C26"/>
    <w:rsid w:val="0073779A"/>
    <w:rsid w:val="00742358"/>
    <w:rsid w:val="0074515F"/>
    <w:rsid w:val="0074780D"/>
    <w:rsid w:val="00754BD6"/>
    <w:rsid w:val="0076247C"/>
    <w:rsid w:val="0076286C"/>
    <w:rsid w:val="00762C52"/>
    <w:rsid w:val="0076439B"/>
    <w:rsid w:val="00765182"/>
    <w:rsid w:val="00766659"/>
    <w:rsid w:val="00766676"/>
    <w:rsid w:val="007706C2"/>
    <w:rsid w:val="007708BC"/>
    <w:rsid w:val="00771E2D"/>
    <w:rsid w:val="00773AB5"/>
    <w:rsid w:val="0077469B"/>
    <w:rsid w:val="00775A95"/>
    <w:rsid w:val="00775D0C"/>
    <w:rsid w:val="00776AAE"/>
    <w:rsid w:val="0078530B"/>
    <w:rsid w:val="007900CE"/>
    <w:rsid w:val="00791B97"/>
    <w:rsid w:val="00797DBC"/>
    <w:rsid w:val="007A076E"/>
    <w:rsid w:val="007A1084"/>
    <w:rsid w:val="007A453D"/>
    <w:rsid w:val="007A4DF8"/>
    <w:rsid w:val="007A5545"/>
    <w:rsid w:val="007C5210"/>
    <w:rsid w:val="007C543E"/>
    <w:rsid w:val="007C56D2"/>
    <w:rsid w:val="007C5717"/>
    <w:rsid w:val="007D1EF4"/>
    <w:rsid w:val="007D4830"/>
    <w:rsid w:val="007D5C2B"/>
    <w:rsid w:val="007E0F74"/>
    <w:rsid w:val="007E13FC"/>
    <w:rsid w:val="007E144D"/>
    <w:rsid w:val="007E1A83"/>
    <w:rsid w:val="007E3983"/>
    <w:rsid w:val="007E3B53"/>
    <w:rsid w:val="007F09CD"/>
    <w:rsid w:val="007F1DEA"/>
    <w:rsid w:val="007F453D"/>
    <w:rsid w:val="007F5F9E"/>
    <w:rsid w:val="007F68CC"/>
    <w:rsid w:val="00803FBC"/>
    <w:rsid w:val="00804C79"/>
    <w:rsid w:val="008055EA"/>
    <w:rsid w:val="00806F45"/>
    <w:rsid w:val="00807880"/>
    <w:rsid w:val="00810AF1"/>
    <w:rsid w:val="00816B11"/>
    <w:rsid w:val="00817441"/>
    <w:rsid w:val="00823572"/>
    <w:rsid w:val="00823878"/>
    <w:rsid w:val="00833757"/>
    <w:rsid w:val="0083572A"/>
    <w:rsid w:val="008360C8"/>
    <w:rsid w:val="008447F0"/>
    <w:rsid w:val="008453EA"/>
    <w:rsid w:val="00847C4B"/>
    <w:rsid w:val="00850696"/>
    <w:rsid w:val="00862161"/>
    <w:rsid w:val="00866255"/>
    <w:rsid w:val="00867A46"/>
    <w:rsid w:val="00870ABA"/>
    <w:rsid w:val="008714E2"/>
    <w:rsid w:val="00871548"/>
    <w:rsid w:val="008728C3"/>
    <w:rsid w:val="008826D9"/>
    <w:rsid w:val="00886659"/>
    <w:rsid w:val="00886C6A"/>
    <w:rsid w:val="00887C6F"/>
    <w:rsid w:val="00891D7E"/>
    <w:rsid w:val="00894858"/>
    <w:rsid w:val="00894A19"/>
    <w:rsid w:val="00894E98"/>
    <w:rsid w:val="00897D1D"/>
    <w:rsid w:val="008A0E0F"/>
    <w:rsid w:val="008B1BF6"/>
    <w:rsid w:val="008B7726"/>
    <w:rsid w:val="008C2229"/>
    <w:rsid w:val="008C3479"/>
    <w:rsid w:val="008D0A7D"/>
    <w:rsid w:val="008D4F16"/>
    <w:rsid w:val="008E0A1D"/>
    <w:rsid w:val="008E5759"/>
    <w:rsid w:val="008E6A23"/>
    <w:rsid w:val="008E7144"/>
    <w:rsid w:val="008F28C6"/>
    <w:rsid w:val="008F3689"/>
    <w:rsid w:val="008F7C44"/>
    <w:rsid w:val="009008B1"/>
    <w:rsid w:val="00901527"/>
    <w:rsid w:val="00902301"/>
    <w:rsid w:val="00902AA0"/>
    <w:rsid w:val="009033EA"/>
    <w:rsid w:val="009034CA"/>
    <w:rsid w:val="00906BA6"/>
    <w:rsid w:val="00910B64"/>
    <w:rsid w:val="00912BAC"/>
    <w:rsid w:val="009138CC"/>
    <w:rsid w:val="009151AA"/>
    <w:rsid w:val="00920004"/>
    <w:rsid w:val="00920A78"/>
    <w:rsid w:val="009237F7"/>
    <w:rsid w:val="00923E1A"/>
    <w:rsid w:val="00924027"/>
    <w:rsid w:val="00931822"/>
    <w:rsid w:val="00931CA3"/>
    <w:rsid w:val="00934737"/>
    <w:rsid w:val="00942DE2"/>
    <w:rsid w:val="00946EAE"/>
    <w:rsid w:val="009536E7"/>
    <w:rsid w:val="0095630D"/>
    <w:rsid w:val="00956EF9"/>
    <w:rsid w:val="00961BED"/>
    <w:rsid w:val="009653E3"/>
    <w:rsid w:val="009704D4"/>
    <w:rsid w:val="00971F12"/>
    <w:rsid w:val="009748E3"/>
    <w:rsid w:val="00975ED8"/>
    <w:rsid w:val="0097710A"/>
    <w:rsid w:val="0098162D"/>
    <w:rsid w:val="00991F6D"/>
    <w:rsid w:val="009930A6"/>
    <w:rsid w:val="009A182D"/>
    <w:rsid w:val="009A1C84"/>
    <w:rsid w:val="009A4413"/>
    <w:rsid w:val="009A6B09"/>
    <w:rsid w:val="009B0B62"/>
    <w:rsid w:val="009B61A0"/>
    <w:rsid w:val="009B6AFC"/>
    <w:rsid w:val="009C0494"/>
    <w:rsid w:val="009C7457"/>
    <w:rsid w:val="009D53F4"/>
    <w:rsid w:val="009E3569"/>
    <w:rsid w:val="009E4D99"/>
    <w:rsid w:val="009E501C"/>
    <w:rsid w:val="009E6230"/>
    <w:rsid w:val="009E7358"/>
    <w:rsid w:val="009F1DB9"/>
    <w:rsid w:val="009F2181"/>
    <w:rsid w:val="009F3BC2"/>
    <w:rsid w:val="00A00F13"/>
    <w:rsid w:val="00A0585B"/>
    <w:rsid w:val="00A07866"/>
    <w:rsid w:val="00A12815"/>
    <w:rsid w:val="00A160DC"/>
    <w:rsid w:val="00A21EB3"/>
    <w:rsid w:val="00A2613B"/>
    <w:rsid w:val="00A262DD"/>
    <w:rsid w:val="00A3387B"/>
    <w:rsid w:val="00A352AE"/>
    <w:rsid w:val="00A37820"/>
    <w:rsid w:val="00A406C2"/>
    <w:rsid w:val="00A4363D"/>
    <w:rsid w:val="00A463AC"/>
    <w:rsid w:val="00A46BAC"/>
    <w:rsid w:val="00A475AC"/>
    <w:rsid w:val="00A516AD"/>
    <w:rsid w:val="00A565CA"/>
    <w:rsid w:val="00A61D68"/>
    <w:rsid w:val="00A62658"/>
    <w:rsid w:val="00A62E1C"/>
    <w:rsid w:val="00A6337E"/>
    <w:rsid w:val="00A645F0"/>
    <w:rsid w:val="00A66D25"/>
    <w:rsid w:val="00A72C19"/>
    <w:rsid w:val="00A7394C"/>
    <w:rsid w:val="00A75DB8"/>
    <w:rsid w:val="00A76A8A"/>
    <w:rsid w:val="00A84DDD"/>
    <w:rsid w:val="00A9118E"/>
    <w:rsid w:val="00A93BC3"/>
    <w:rsid w:val="00A9453E"/>
    <w:rsid w:val="00AA02EB"/>
    <w:rsid w:val="00AA2D54"/>
    <w:rsid w:val="00AA356E"/>
    <w:rsid w:val="00AA4711"/>
    <w:rsid w:val="00AA751E"/>
    <w:rsid w:val="00AB797C"/>
    <w:rsid w:val="00AC1824"/>
    <w:rsid w:val="00AC3780"/>
    <w:rsid w:val="00AC6FFE"/>
    <w:rsid w:val="00AD2940"/>
    <w:rsid w:val="00AD4128"/>
    <w:rsid w:val="00AD5A64"/>
    <w:rsid w:val="00AE33AE"/>
    <w:rsid w:val="00AE7897"/>
    <w:rsid w:val="00AE7C35"/>
    <w:rsid w:val="00AF0CFD"/>
    <w:rsid w:val="00AF2DC2"/>
    <w:rsid w:val="00AF52C3"/>
    <w:rsid w:val="00AF6578"/>
    <w:rsid w:val="00AF717A"/>
    <w:rsid w:val="00B05C00"/>
    <w:rsid w:val="00B109A1"/>
    <w:rsid w:val="00B10DAF"/>
    <w:rsid w:val="00B12DD6"/>
    <w:rsid w:val="00B2238E"/>
    <w:rsid w:val="00B31E24"/>
    <w:rsid w:val="00B3272C"/>
    <w:rsid w:val="00B35FF0"/>
    <w:rsid w:val="00B47E5B"/>
    <w:rsid w:val="00B51D02"/>
    <w:rsid w:val="00B53C55"/>
    <w:rsid w:val="00B53EF0"/>
    <w:rsid w:val="00B55796"/>
    <w:rsid w:val="00B6138A"/>
    <w:rsid w:val="00B70AD8"/>
    <w:rsid w:val="00B7105E"/>
    <w:rsid w:val="00B736CD"/>
    <w:rsid w:val="00B738A4"/>
    <w:rsid w:val="00B76A8D"/>
    <w:rsid w:val="00B76CA6"/>
    <w:rsid w:val="00B80A7C"/>
    <w:rsid w:val="00B8551A"/>
    <w:rsid w:val="00B93390"/>
    <w:rsid w:val="00B946C0"/>
    <w:rsid w:val="00BA2518"/>
    <w:rsid w:val="00BA3973"/>
    <w:rsid w:val="00BA7552"/>
    <w:rsid w:val="00BB4A05"/>
    <w:rsid w:val="00BC0F15"/>
    <w:rsid w:val="00BC78D4"/>
    <w:rsid w:val="00BD12FB"/>
    <w:rsid w:val="00BD291F"/>
    <w:rsid w:val="00BD450C"/>
    <w:rsid w:val="00BD4CF9"/>
    <w:rsid w:val="00BD533F"/>
    <w:rsid w:val="00BD59CA"/>
    <w:rsid w:val="00BD5E16"/>
    <w:rsid w:val="00BD6843"/>
    <w:rsid w:val="00BD6911"/>
    <w:rsid w:val="00BD7019"/>
    <w:rsid w:val="00BD781A"/>
    <w:rsid w:val="00BE3403"/>
    <w:rsid w:val="00BE6F95"/>
    <w:rsid w:val="00BE7964"/>
    <w:rsid w:val="00BF02CA"/>
    <w:rsid w:val="00BF2884"/>
    <w:rsid w:val="00BF317E"/>
    <w:rsid w:val="00BF6F9E"/>
    <w:rsid w:val="00C02053"/>
    <w:rsid w:val="00C16D90"/>
    <w:rsid w:val="00C20C35"/>
    <w:rsid w:val="00C3119C"/>
    <w:rsid w:val="00C40ED3"/>
    <w:rsid w:val="00C471DF"/>
    <w:rsid w:val="00C52A07"/>
    <w:rsid w:val="00C53243"/>
    <w:rsid w:val="00C54C48"/>
    <w:rsid w:val="00C55BFB"/>
    <w:rsid w:val="00C61EE0"/>
    <w:rsid w:val="00C62319"/>
    <w:rsid w:val="00C6463C"/>
    <w:rsid w:val="00C65440"/>
    <w:rsid w:val="00C70B05"/>
    <w:rsid w:val="00C71BB3"/>
    <w:rsid w:val="00C72094"/>
    <w:rsid w:val="00C73810"/>
    <w:rsid w:val="00C77D02"/>
    <w:rsid w:val="00C803DA"/>
    <w:rsid w:val="00C8520E"/>
    <w:rsid w:val="00C86AC9"/>
    <w:rsid w:val="00C902A8"/>
    <w:rsid w:val="00C92977"/>
    <w:rsid w:val="00C92A90"/>
    <w:rsid w:val="00C93630"/>
    <w:rsid w:val="00CA46FB"/>
    <w:rsid w:val="00CA5D52"/>
    <w:rsid w:val="00CB450F"/>
    <w:rsid w:val="00CC17FA"/>
    <w:rsid w:val="00CC1E9F"/>
    <w:rsid w:val="00CC3BB9"/>
    <w:rsid w:val="00CC4326"/>
    <w:rsid w:val="00CD22ED"/>
    <w:rsid w:val="00CD2545"/>
    <w:rsid w:val="00CD28F4"/>
    <w:rsid w:val="00CD707A"/>
    <w:rsid w:val="00CD7093"/>
    <w:rsid w:val="00CD7746"/>
    <w:rsid w:val="00CE17E3"/>
    <w:rsid w:val="00CE3697"/>
    <w:rsid w:val="00CE54A7"/>
    <w:rsid w:val="00CE6339"/>
    <w:rsid w:val="00CE684D"/>
    <w:rsid w:val="00CF1E5B"/>
    <w:rsid w:val="00CF73B7"/>
    <w:rsid w:val="00D062A5"/>
    <w:rsid w:val="00D13339"/>
    <w:rsid w:val="00D166FB"/>
    <w:rsid w:val="00D27D59"/>
    <w:rsid w:val="00D31D50"/>
    <w:rsid w:val="00D32B68"/>
    <w:rsid w:val="00D34CE6"/>
    <w:rsid w:val="00D41748"/>
    <w:rsid w:val="00D50505"/>
    <w:rsid w:val="00D51EAA"/>
    <w:rsid w:val="00D5662C"/>
    <w:rsid w:val="00D61812"/>
    <w:rsid w:val="00D6251B"/>
    <w:rsid w:val="00D664E2"/>
    <w:rsid w:val="00D67F06"/>
    <w:rsid w:val="00D72A99"/>
    <w:rsid w:val="00D740BC"/>
    <w:rsid w:val="00D747D3"/>
    <w:rsid w:val="00D76E58"/>
    <w:rsid w:val="00D809C4"/>
    <w:rsid w:val="00D823E9"/>
    <w:rsid w:val="00D82F27"/>
    <w:rsid w:val="00D83DBD"/>
    <w:rsid w:val="00D84E09"/>
    <w:rsid w:val="00D8525E"/>
    <w:rsid w:val="00D90F08"/>
    <w:rsid w:val="00D91B40"/>
    <w:rsid w:val="00D94AB0"/>
    <w:rsid w:val="00D964D4"/>
    <w:rsid w:val="00D9669F"/>
    <w:rsid w:val="00DA0F7A"/>
    <w:rsid w:val="00DA7B61"/>
    <w:rsid w:val="00DB0BC5"/>
    <w:rsid w:val="00DB4FFF"/>
    <w:rsid w:val="00DC083F"/>
    <w:rsid w:val="00DC19BF"/>
    <w:rsid w:val="00DC3FD2"/>
    <w:rsid w:val="00DC6F3B"/>
    <w:rsid w:val="00DC791C"/>
    <w:rsid w:val="00DD0CC2"/>
    <w:rsid w:val="00DD144B"/>
    <w:rsid w:val="00DD161A"/>
    <w:rsid w:val="00DD1776"/>
    <w:rsid w:val="00DD1C6A"/>
    <w:rsid w:val="00DE212D"/>
    <w:rsid w:val="00DE4B69"/>
    <w:rsid w:val="00DE4FFE"/>
    <w:rsid w:val="00DE596E"/>
    <w:rsid w:val="00DE5970"/>
    <w:rsid w:val="00DE6A04"/>
    <w:rsid w:val="00DF58ED"/>
    <w:rsid w:val="00DF7BE9"/>
    <w:rsid w:val="00E00366"/>
    <w:rsid w:val="00E02C79"/>
    <w:rsid w:val="00E03514"/>
    <w:rsid w:val="00E042B7"/>
    <w:rsid w:val="00E0709B"/>
    <w:rsid w:val="00E125D0"/>
    <w:rsid w:val="00E15A1E"/>
    <w:rsid w:val="00E1781E"/>
    <w:rsid w:val="00E226B5"/>
    <w:rsid w:val="00E229BF"/>
    <w:rsid w:val="00E2326F"/>
    <w:rsid w:val="00E2461D"/>
    <w:rsid w:val="00E24B74"/>
    <w:rsid w:val="00E24EB1"/>
    <w:rsid w:val="00E301B1"/>
    <w:rsid w:val="00E32227"/>
    <w:rsid w:val="00E34B30"/>
    <w:rsid w:val="00E37772"/>
    <w:rsid w:val="00E4027D"/>
    <w:rsid w:val="00E404C9"/>
    <w:rsid w:val="00E409EC"/>
    <w:rsid w:val="00E429AE"/>
    <w:rsid w:val="00E45462"/>
    <w:rsid w:val="00E45D2F"/>
    <w:rsid w:val="00E53CCB"/>
    <w:rsid w:val="00E5599D"/>
    <w:rsid w:val="00E625C1"/>
    <w:rsid w:val="00E658A7"/>
    <w:rsid w:val="00E66036"/>
    <w:rsid w:val="00E6627E"/>
    <w:rsid w:val="00E71720"/>
    <w:rsid w:val="00E801A6"/>
    <w:rsid w:val="00E84FBA"/>
    <w:rsid w:val="00E93AC5"/>
    <w:rsid w:val="00E93F51"/>
    <w:rsid w:val="00E95D14"/>
    <w:rsid w:val="00EA2C00"/>
    <w:rsid w:val="00EA7FE3"/>
    <w:rsid w:val="00EB0CA7"/>
    <w:rsid w:val="00EB1FFC"/>
    <w:rsid w:val="00EB2356"/>
    <w:rsid w:val="00EB23B8"/>
    <w:rsid w:val="00EB3A4D"/>
    <w:rsid w:val="00EB4AEF"/>
    <w:rsid w:val="00EB659E"/>
    <w:rsid w:val="00EC5F1E"/>
    <w:rsid w:val="00ED1E02"/>
    <w:rsid w:val="00ED2839"/>
    <w:rsid w:val="00ED33A8"/>
    <w:rsid w:val="00ED3A0D"/>
    <w:rsid w:val="00ED6E85"/>
    <w:rsid w:val="00EE04FC"/>
    <w:rsid w:val="00EE60BF"/>
    <w:rsid w:val="00EF352F"/>
    <w:rsid w:val="00EF427F"/>
    <w:rsid w:val="00EF4973"/>
    <w:rsid w:val="00EF5744"/>
    <w:rsid w:val="00EF649B"/>
    <w:rsid w:val="00EF7082"/>
    <w:rsid w:val="00EF7D85"/>
    <w:rsid w:val="00F0650D"/>
    <w:rsid w:val="00F06FC8"/>
    <w:rsid w:val="00F07240"/>
    <w:rsid w:val="00F1295A"/>
    <w:rsid w:val="00F1621E"/>
    <w:rsid w:val="00F1737D"/>
    <w:rsid w:val="00F20979"/>
    <w:rsid w:val="00F2225F"/>
    <w:rsid w:val="00F247A0"/>
    <w:rsid w:val="00F24DF5"/>
    <w:rsid w:val="00F252F8"/>
    <w:rsid w:val="00F33068"/>
    <w:rsid w:val="00F40D9C"/>
    <w:rsid w:val="00F434BC"/>
    <w:rsid w:val="00F47647"/>
    <w:rsid w:val="00F5148D"/>
    <w:rsid w:val="00F51977"/>
    <w:rsid w:val="00F529B5"/>
    <w:rsid w:val="00F535CB"/>
    <w:rsid w:val="00F57B7B"/>
    <w:rsid w:val="00F60733"/>
    <w:rsid w:val="00F63D80"/>
    <w:rsid w:val="00F647A0"/>
    <w:rsid w:val="00F64944"/>
    <w:rsid w:val="00F65606"/>
    <w:rsid w:val="00F66C70"/>
    <w:rsid w:val="00F702EB"/>
    <w:rsid w:val="00F723D9"/>
    <w:rsid w:val="00F732E1"/>
    <w:rsid w:val="00F75B81"/>
    <w:rsid w:val="00F75E39"/>
    <w:rsid w:val="00F76712"/>
    <w:rsid w:val="00F9004B"/>
    <w:rsid w:val="00F90F7B"/>
    <w:rsid w:val="00F91F34"/>
    <w:rsid w:val="00F92F46"/>
    <w:rsid w:val="00F936B6"/>
    <w:rsid w:val="00FA4257"/>
    <w:rsid w:val="00FA4F38"/>
    <w:rsid w:val="00FA7DCB"/>
    <w:rsid w:val="00FB0B33"/>
    <w:rsid w:val="00FB5000"/>
    <w:rsid w:val="00FB60D3"/>
    <w:rsid w:val="00FC0D21"/>
    <w:rsid w:val="00FC0DF5"/>
    <w:rsid w:val="00FC1B63"/>
    <w:rsid w:val="00FD4AA4"/>
    <w:rsid w:val="00FD7B49"/>
    <w:rsid w:val="00FE00F9"/>
    <w:rsid w:val="00FE3FCA"/>
    <w:rsid w:val="00FE49E8"/>
    <w:rsid w:val="00FE5412"/>
    <w:rsid w:val="0244104A"/>
    <w:rsid w:val="02F319D1"/>
    <w:rsid w:val="048C3056"/>
    <w:rsid w:val="06A734ED"/>
    <w:rsid w:val="078C4A45"/>
    <w:rsid w:val="09183FD8"/>
    <w:rsid w:val="0A4B228E"/>
    <w:rsid w:val="0AED1E94"/>
    <w:rsid w:val="0B1D4935"/>
    <w:rsid w:val="0EA05C41"/>
    <w:rsid w:val="0FF47601"/>
    <w:rsid w:val="140A38CC"/>
    <w:rsid w:val="17E7B2CE"/>
    <w:rsid w:val="1C31474A"/>
    <w:rsid w:val="1F080B8F"/>
    <w:rsid w:val="1F7E4C13"/>
    <w:rsid w:val="1FAC763C"/>
    <w:rsid w:val="20B1764F"/>
    <w:rsid w:val="24BD7B04"/>
    <w:rsid w:val="2B472954"/>
    <w:rsid w:val="2C285AA0"/>
    <w:rsid w:val="348B5781"/>
    <w:rsid w:val="372E18EF"/>
    <w:rsid w:val="383E64EC"/>
    <w:rsid w:val="387500C6"/>
    <w:rsid w:val="396C5641"/>
    <w:rsid w:val="3FFD8E94"/>
    <w:rsid w:val="401D79A6"/>
    <w:rsid w:val="403B1546"/>
    <w:rsid w:val="4199493D"/>
    <w:rsid w:val="430C6815"/>
    <w:rsid w:val="453D0594"/>
    <w:rsid w:val="490D512B"/>
    <w:rsid w:val="49DE3B6B"/>
    <w:rsid w:val="4B010851"/>
    <w:rsid w:val="4DDF1968"/>
    <w:rsid w:val="51D81635"/>
    <w:rsid w:val="538C1942"/>
    <w:rsid w:val="549262E1"/>
    <w:rsid w:val="5A7E0143"/>
    <w:rsid w:val="5ACB4688"/>
    <w:rsid w:val="5AF865A4"/>
    <w:rsid w:val="5E99556D"/>
    <w:rsid w:val="61C76C69"/>
    <w:rsid w:val="61D32628"/>
    <w:rsid w:val="65211CCA"/>
    <w:rsid w:val="66D226BA"/>
    <w:rsid w:val="67207544"/>
    <w:rsid w:val="673501D1"/>
    <w:rsid w:val="68F2718B"/>
    <w:rsid w:val="6C413068"/>
    <w:rsid w:val="6D4B1CE7"/>
    <w:rsid w:val="6E5BC3C0"/>
    <w:rsid w:val="6ED91CC2"/>
    <w:rsid w:val="6EFB0735"/>
    <w:rsid w:val="6FF59E89"/>
    <w:rsid w:val="706C18DA"/>
    <w:rsid w:val="70E877D7"/>
    <w:rsid w:val="71357517"/>
    <w:rsid w:val="72DE10A0"/>
    <w:rsid w:val="74A00563"/>
    <w:rsid w:val="754763C8"/>
    <w:rsid w:val="76DC19C5"/>
    <w:rsid w:val="76DF7C6A"/>
    <w:rsid w:val="76EF8BE8"/>
    <w:rsid w:val="77E1EF18"/>
    <w:rsid w:val="77F8A05B"/>
    <w:rsid w:val="79AF56BB"/>
    <w:rsid w:val="7A84746C"/>
    <w:rsid w:val="7AFE9810"/>
    <w:rsid w:val="7B539033"/>
    <w:rsid w:val="7C2B603A"/>
    <w:rsid w:val="7D2F7F9F"/>
    <w:rsid w:val="7D3D7778"/>
    <w:rsid w:val="7DDE7010"/>
    <w:rsid w:val="7EFEBF63"/>
    <w:rsid w:val="7F6541B4"/>
    <w:rsid w:val="7FCE53A6"/>
    <w:rsid w:val="7FFFE3EF"/>
    <w:rsid w:val="937FE0E9"/>
    <w:rsid w:val="975CF861"/>
    <w:rsid w:val="9FFBA63B"/>
    <w:rsid w:val="A5B5D649"/>
    <w:rsid w:val="AFBF16CD"/>
    <w:rsid w:val="B1FFF5DD"/>
    <w:rsid w:val="B29CD706"/>
    <w:rsid w:val="B7BFD484"/>
    <w:rsid w:val="BDD7851B"/>
    <w:rsid w:val="BF7F83C7"/>
    <w:rsid w:val="BFBB9561"/>
    <w:rsid w:val="DA7932B7"/>
    <w:rsid w:val="DEF7A67E"/>
    <w:rsid w:val="E9B4DAC9"/>
    <w:rsid w:val="EBFF8FAE"/>
    <w:rsid w:val="EDEBCFD3"/>
    <w:rsid w:val="EF5D6619"/>
    <w:rsid w:val="EFBDE3F2"/>
    <w:rsid w:val="FE33664A"/>
    <w:rsid w:val="FF56A95A"/>
    <w:rsid w:val="FFB75A9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qFormat/>
    <w:locked/>
    <w:uiPriority w:val="9"/>
    <w:pPr>
      <w:keepNext/>
      <w:keepLines/>
      <w:spacing w:line="360" w:lineRule="auto"/>
      <w:outlineLvl w:val="0"/>
    </w:pPr>
    <w:rPr>
      <w:b/>
      <w:bCs/>
      <w:kern w:val="44"/>
      <w:sz w:val="30"/>
      <w:szCs w:val="44"/>
    </w:rPr>
  </w:style>
  <w:style w:type="paragraph" w:styleId="3">
    <w:name w:val="heading 3"/>
    <w:basedOn w:val="1"/>
    <w:next w:val="1"/>
    <w:link w:val="29"/>
    <w:semiHidden/>
    <w:unhideWhenUsed/>
    <w:qFormat/>
    <w:locked/>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4"/>
    <w:semiHidden/>
    <w:qFormat/>
    <w:uiPriority w:val="99"/>
    <w:pPr>
      <w:shd w:val="clear" w:color="auto" w:fill="000080"/>
    </w:pPr>
  </w:style>
  <w:style w:type="paragraph" w:styleId="5">
    <w:name w:val="Body Text"/>
    <w:basedOn w:val="1"/>
    <w:next w:val="6"/>
    <w:link w:val="21"/>
    <w:qFormat/>
    <w:uiPriority w:val="99"/>
    <w:pPr>
      <w:spacing w:after="120"/>
    </w:pPr>
  </w:style>
  <w:style w:type="paragraph" w:customStyle="1" w:styleId="6">
    <w:name w:val="xl27"/>
    <w:basedOn w:val="1"/>
    <w:next w:val="7"/>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color w:val="000000"/>
      <w:sz w:val="20"/>
      <w:szCs w:val="20"/>
    </w:rPr>
  </w:style>
  <w:style w:type="paragraph" w:customStyle="1" w:styleId="7">
    <w:name w:val="A正文"/>
    <w:qFormat/>
    <w:uiPriority w:val="99"/>
    <w:pPr>
      <w:spacing w:line="480" w:lineRule="exact"/>
      <w:ind w:firstLine="480"/>
    </w:pPr>
    <w:rPr>
      <w:rFonts w:ascii="宋体" w:hAnsi="宋体" w:eastAsia="宋体" w:cs="Times New Roman"/>
      <w:sz w:val="24"/>
      <w:szCs w:val="22"/>
      <w:lang w:val="en-US" w:eastAsia="zh-CN" w:bidi="ar-SA"/>
    </w:rPr>
  </w:style>
  <w:style w:type="paragraph" w:styleId="8">
    <w:name w:val="Body Text Indent"/>
    <w:basedOn w:val="1"/>
    <w:link w:val="27"/>
    <w:semiHidden/>
    <w:unhideWhenUsed/>
    <w:qFormat/>
    <w:uiPriority w:val="99"/>
    <w:pPr>
      <w:spacing w:after="120"/>
      <w:ind w:left="420" w:leftChars="200"/>
    </w:pPr>
  </w:style>
  <w:style w:type="paragraph" w:styleId="9">
    <w:name w:val="Balloon Text"/>
    <w:basedOn w:val="1"/>
    <w:link w:val="31"/>
    <w:semiHidden/>
    <w:unhideWhenUsed/>
    <w:qFormat/>
    <w:uiPriority w:val="99"/>
    <w:pPr>
      <w:spacing w:after="0"/>
    </w:pPr>
    <w:rPr>
      <w:sz w:val="18"/>
      <w:szCs w:val="18"/>
    </w:rPr>
  </w:style>
  <w:style w:type="paragraph" w:styleId="10">
    <w:name w:val="footer"/>
    <w:basedOn w:val="1"/>
    <w:link w:val="20"/>
    <w:qFormat/>
    <w:uiPriority w:val="99"/>
    <w:pPr>
      <w:tabs>
        <w:tab w:val="center" w:pos="4153"/>
        <w:tab w:val="right" w:pos="8306"/>
      </w:tabs>
    </w:pPr>
    <w:rPr>
      <w:sz w:val="18"/>
      <w:szCs w:val="18"/>
    </w:rPr>
  </w:style>
  <w:style w:type="paragraph" w:styleId="11">
    <w:name w:val="header"/>
    <w:basedOn w:val="1"/>
    <w:link w:val="19"/>
    <w:semiHidden/>
    <w:qFormat/>
    <w:uiPriority w:val="99"/>
    <w:pPr>
      <w:pBdr>
        <w:bottom w:val="single" w:color="auto" w:sz="6" w:space="1"/>
      </w:pBdr>
      <w:tabs>
        <w:tab w:val="center" w:pos="4153"/>
        <w:tab w:val="right" w:pos="8306"/>
      </w:tabs>
      <w:jc w:val="center"/>
    </w:pPr>
    <w:rPr>
      <w:sz w:val="18"/>
      <w:szCs w:val="18"/>
    </w:rPr>
  </w:style>
  <w:style w:type="paragraph" w:styleId="12">
    <w:name w:val="toc 2"/>
    <w:basedOn w:val="1"/>
    <w:next w:val="1"/>
    <w:unhideWhenUsed/>
    <w:qFormat/>
    <w:locked/>
    <w:uiPriority w:val="0"/>
    <w:pPr>
      <w:ind w:left="420" w:leftChars="200"/>
    </w:pPr>
  </w:style>
  <w:style w:type="paragraph" w:styleId="13">
    <w:name w:val="Normal (Web)"/>
    <w:basedOn w:val="1"/>
    <w:qFormat/>
    <w:uiPriority w:val="0"/>
    <w:pPr>
      <w:adjustRightInd/>
      <w:snapToGrid/>
      <w:spacing w:before="100" w:beforeAutospacing="1" w:after="100" w:afterAutospacing="1"/>
    </w:pPr>
    <w:rPr>
      <w:rFonts w:ascii="宋体" w:hAnsi="宋体" w:eastAsia="宋体"/>
      <w:sz w:val="24"/>
      <w:szCs w:val="24"/>
    </w:rPr>
  </w:style>
  <w:style w:type="paragraph" w:styleId="14">
    <w:name w:val="Title"/>
    <w:basedOn w:val="1"/>
    <w:next w:val="1"/>
    <w:link w:val="23"/>
    <w:qFormat/>
    <w:uiPriority w:val="99"/>
    <w:pPr>
      <w:spacing w:before="240" w:after="60"/>
      <w:jc w:val="center"/>
      <w:outlineLvl w:val="0"/>
    </w:pPr>
    <w:rPr>
      <w:rFonts w:ascii="Cambria" w:hAnsi="Cambria" w:eastAsia="宋体"/>
      <w:b/>
      <w:bCs/>
      <w:sz w:val="32"/>
      <w:szCs w:val="32"/>
    </w:rPr>
  </w:style>
  <w:style w:type="paragraph" w:styleId="15">
    <w:name w:val="Body Text First Indent"/>
    <w:basedOn w:val="5"/>
    <w:link w:val="22"/>
    <w:qFormat/>
    <w:uiPriority w:val="99"/>
    <w:pPr>
      <w:widowControl w:val="0"/>
      <w:adjustRightInd/>
      <w:snapToGrid/>
      <w:ind w:firstLine="420" w:firstLineChars="100"/>
      <w:jc w:val="both"/>
    </w:pPr>
    <w:rPr>
      <w:rFonts w:ascii="Times New Roman" w:hAnsi="Times New Roman" w:eastAsia="宋体"/>
      <w:kern w:val="2"/>
      <w:sz w:val="21"/>
      <w:szCs w:val="24"/>
    </w:rPr>
  </w:style>
  <w:style w:type="paragraph" w:styleId="16">
    <w:name w:val="Body Text First Indent 2"/>
    <w:basedOn w:val="8"/>
    <w:link w:val="28"/>
    <w:semiHidden/>
    <w:unhideWhenUsed/>
    <w:qFormat/>
    <w:uiPriority w:val="99"/>
    <w:pPr>
      <w:ind w:firstLine="420" w:firstLineChars="200"/>
    </w:pPr>
  </w:style>
  <w:style w:type="character" w:customStyle="1" w:styleId="19">
    <w:name w:val="页眉 字符"/>
    <w:basedOn w:val="18"/>
    <w:link w:val="11"/>
    <w:semiHidden/>
    <w:qFormat/>
    <w:locked/>
    <w:uiPriority w:val="99"/>
    <w:rPr>
      <w:rFonts w:ascii="Tahoma" w:hAnsi="Tahoma" w:cs="Times New Roman"/>
      <w:sz w:val="18"/>
      <w:szCs w:val="18"/>
    </w:rPr>
  </w:style>
  <w:style w:type="character" w:customStyle="1" w:styleId="20">
    <w:name w:val="页脚 字符"/>
    <w:basedOn w:val="18"/>
    <w:link w:val="10"/>
    <w:qFormat/>
    <w:locked/>
    <w:uiPriority w:val="99"/>
    <w:rPr>
      <w:rFonts w:ascii="Tahoma" w:hAnsi="Tahoma" w:cs="Times New Roman"/>
      <w:sz w:val="18"/>
      <w:szCs w:val="18"/>
    </w:rPr>
  </w:style>
  <w:style w:type="character" w:customStyle="1" w:styleId="21">
    <w:name w:val="正文文本 字符"/>
    <w:basedOn w:val="18"/>
    <w:link w:val="5"/>
    <w:qFormat/>
    <w:locked/>
    <w:uiPriority w:val="99"/>
    <w:rPr>
      <w:rFonts w:ascii="Tahoma" w:hAnsi="Tahoma" w:cs="Times New Roman"/>
    </w:rPr>
  </w:style>
  <w:style w:type="character" w:customStyle="1" w:styleId="22">
    <w:name w:val="正文文本首行缩进 字符"/>
    <w:basedOn w:val="21"/>
    <w:link w:val="15"/>
    <w:qFormat/>
    <w:locked/>
    <w:uiPriority w:val="99"/>
    <w:rPr>
      <w:rFonts w:ascii="Times New Roman" w:hAnsi="Times New Roman" w:eastAsia="宋体" w:cs="Times New Roman"/>
      <w:kern w:val="2"/>
      <w:sz w:val="24"/>
      <w:szCs w:val="24"/>
    </w:rPr>
  </w:style>
  <w:style w:type="character" w:customStyle="1" w:styleId="23">
    <w:name w:val="标题 字符"/>
    <w:basedOn w:val="18"/>
    <w:link w:val="14"/>
    <w:qFormat/>
    <w:locked/>
    <w:uiPriority w:val="99"/>
    <w:rPr>
      <w:rFonts w:ascii="Cambria" w:hAnsi="Cambria" w:eastAsia="宋体" w:cs="Times New Roman"/>
      <w:b/>
      <w:bCs/>
      <w:sz w:val="32"/>
      <w:szCs w:val="32"/>
    </w:rPr>
  </w:style>
  <w:style w:type="character" w:customStyle="1" w:styleId="24">
    <w:name w:val="文档结构图 字符"/>
    <w:basedOn w:val="18"/>
    <w:link w:val="4"/>
    <w:semiHidden/>
    <w:qFormat/>
    <w:locked/>
    <w:uiPriority w:val="99"/>
    <w:rPr>
      <w:rFonts w:ascii="Times New Roman" w:hAnsi="Times New Roman" w:cs="Times New Roman"/>
      <w:kern w:val="0"/>
      <w:sz w:val="2"/>
    </w:rPr>
  </w:style>
  <w:style w:type="paragraph" w:customStyle="1" w:styleId="25">
    <w:name w:val="reader-word-layer reader-word-s1-5"/>
    <w:basedOn w:val="1"/>
    <w:qFormat/>
    <w:uiPriority w:val="99"/>
    <w:pPr>
      <w:adjustRightInd/>
      <w:snapToGrid/>
      <w:spacing w:before="100" w:beforeAutospacing="1" w:after="100" w:afterAutospacing="1"/>
    </w:pPr>
    <w:rPr>
      <w:rFonts w:ascii="宋体" w:hAnsi="宋体" w:eastAsia="宋体" w:cs="宋体"/>
      <w:sz w:val="24"/>
      <w:szCs w:val="24"/>
    </w:rPr>
  </w:style>
  <w:style w:type="paragraph" w:customStyle="1" w:styleId="26">
    <w:name w:val="reader-word-layer reader-word-s1-8"/>
    <w:basedOn w:val="1"/>
    <w:qFormat/>
    <w:uiPriority w:val="99"/>
    <w:pPr>
      <w:adjustRightInd/>
      <w:snapToGrid/>
      <w:spacing w:before="100" w:beforeAutospacing="1" w:after="100" w:afterAutospacing="1"/>
    </w:pPr>
    <w:rPr>
      <w:rFonts w:ascii="宋体" w:hAnsi="宋体" w:eastAsia="宋体" w:cs="宋体"/>
      <w:sz w:val="24"/>
      <w:szCs w:val="24"/>
    </w:rPr>
  </w:style>
  <w:style w:type="character" w:customStyle="1" w:styleId="27">
    <w:name w:val="正文文本缩进 字符"/>
    <w:basedOn w:val="18"/>
    <w:link w:val="8"/>
    <w:semiHidden/>
    <w:qFormat/>
    <w:uiPriority w:val="99"/>
    <w:rPr>
      <w:rFonts w:ascii="Tahoma" w:hAnsi="Tahoma"/>
      <w:sz w:val="22"/>
      <w:szCs w:val="22"/>
    </w:rPr>
  </w:style>
  <w:style w:type="character" w:customStyle="1" w:styleId="28">
    <w:name w:val="正文文本首行缩进 2 字符"/>
    <w:basedOn w:val="27"/>
    <w:link w:val="16"/>
    <w:semiHidden/>
    <w:qFormat/>
    <w:uiPriority w:val="99"/>
    <w:rPr>
      <w:rFonts w:ascii="Tahoma" w:hAnsi="Tahoma"/>
      <w:sz w:val="22"/>
      <w:szCs w:val="22"/>
    </w:rPr>
  </w:style>
  <w:style w:type="character" w:customStyle="1" w:styleId="29">
    <w:name w:val="标题 3 字符"/>
    <w:basedOn w:val="18"/>
    <w:link w:val="3"/>
    <w:semiHidden/>
    <w:qFormat/>
    <w:uiPriority w:val="0"/>
    <w:rPr>
      <w:rFonts w:ascii="Tahoma" w:hAnsi="Tahoma"/>
      <w:b/>
      <w:bCs/>
      <w:sz w:val="32"/>
      <w:szCs w:val="32"/>
    </w:rPr>
  </w:style>
  <w:style w:type="paragraph" w:styleId="30">
    <w:name w:val="List Paragraph"/>
    <w:basedOn w:val="1"/>
    <w:unhideWhenUsed/>
    <w:qFormat/>
    <w:uiPriority w:val="99"/>
    <w:pPr>
      <w:ind w:firstLine="420" w:firstLineChars="200"/>
    </w:pPr>
  </w:style>
  <w:style w:type="character" w:customStyle="1" w:styleId="31">
    <w:name w:val="批注框文本 字符"/>
    <w:basedOn w:val="18"/>
    <w:link w:val="9"/>
    <w:semiHidden/>
    <w:qFormat/>
    <w:uiPriority w:val="99"/>
    <w:rPr>
      <w:rFonts w:ascii="Tahoma" w:hAnsi="Tahoma"/>
      <w:sz w:val="18"/>
      <w:szCs w:val="18"/>
    </w:rPr>
  </w:style>
  <w:style w:type="character" w:customStyle="1" w:styleId="32">
    <w:name w:val="fontstyle01"/>
    <w:qFormat/>
    <w:uiPriority w:val="0"/>
    <w:rPr>
      <w:rFonts w:hint="eastAsia" w:ascii="宋体" w:hAnsi="宋体" w:eastAsia="宋体"/>
      <w:color w:val="000000"/>
      <w:sz w:val="24"/>
      <w:szCs w:val="24"/>
    </w:rPr>
  </w:style>
  <w:style w:type="paragraph" w:customStyle="1" w:styleId="33">
    <w:name w:val="修订1"/>
    <w:hidden/>
    <w:semiHidden/>
    <w:qFormat/>
    <w:uiPriority w:val="99"/>
    <w:rPr>
      <w:rFonts w:ascii="Tahoma" w:hAnsi="Tahoma" w:eastAsia="微软雅黑" w:cs="Times New Roman"/>
      <w:sz w:val="2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2928</Words>
  <Characters>3180</Characters>
  <Lines>14</Lines>
  <Paragraphs>4</Paragraphs>
  <TotalTime>8</TotalTime>
  <ScaleCrop>false</ScaleCrop>
  <LinksUpToDate>false</LinksUpToDate>
  <CharactersWithSpaces>3180</CharactersWithSpaces>
  <Application>WPS Office_11.1.0.11757_F1E327BC-269C-435d-A152-05C5408002CA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2024-03-17T11:24:00Z</dcterms:created>
  <dc:creator>Administrator</dc:creator>
  <cp:lastModifiedBy>昊不昊啊？</cp:lastModifiedBy>
  <cp:lastPrinted>2025-05-27T11:29:00Z</cp:lastPrinted>
  <dcterms:modified xsi:type="dcterms:W3CDTF">2026-07-17T07:28:50Z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2052-11.1.0.11757</vt:lpwstr>
  </property>
  <property fmtid="{D5CDD505-2E9C-101B-9397-08002B2CF9AE}" pid="3" name="ICV">
    <vt:lpwstr>24A36D94689949B3960884C908C19E7A</vt:lpwstr>
  </property>
  <property fmtid="{D5CDD505-2E9C-101B-9397-08002B2CF9AE}" pid="4" name="KSOTemplateDocerSaveRecord">
    <vt:lpwstr>eyJoZGlkIjoiOWNkYWU5MjFlZmE3NjNlYjU5MDk0ODhjNTlmYjVkNjQifQ==</vt:lpwstr>
  </property>
</Properties>
</file>