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F654F">
      <w:pPr>
        <w:spacing w:line="560" w:lineRule="exact"/>
        <w:ind w:firstLine="5440" w:firstLineChars="1700"/>
        <w:rPr>
          <w:rFonts w:hint="eastAsia" w:ascii="仿宋_GB2312" w:hAnsi="仿宋" w:eastAsia="仿宋_GB2312" w:cs="仿宋"/>
          <w:sz w:val="32"/>
          <w:szCs w:val="32"/>
        </w:rPr>
      </w:pPr>
    </w:p>
    <w:p w14:paraId="78A01519">
      <w:pPr>
        <w:spacing w:line="560" w:lineRule="exact"/>
        <w:ind w:firstLine="5440" w:firstLineChars="1700"/>
        <w:rPr>
          <w:rFonts w:hint="eastAsia" w:ascii="仿宋_GB2312" w:hAnsi="仿宋" w:eastAsia="仿宋_GB2312" w:cs="仿宋"/>
          <w:sz w:val="32"/>
          <w:szCs w:val="32"/>
        </w:rPr>
      </w:pPr>
    </w:p>
    <w:p w14:paraId="588155AB">
      <w:pPr>
        <w:spacing w:line="560" w:lineRule="exact"/>
        <w:ind w:firstLine="5760" w:firstLineChars="18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常环建〔202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 w:cs="仿宋"/>
          <w:sz w:val="32"/>
          <w:szCs w:val="32"/>
        </w:rPr>
        <w:t>号</w:t>
      </w:r>
    </w:p>
    <w:p w14:paraId="3D2C3C66"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 w14:paraId="1279BE1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常德市生态环境局</w:t>
      </w:r>
    </w:p>
    <w:p w14:paraId="6C3D48E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jc w:val="center"/>
        <w:textAlignment w:val="auto"/>
        <w:rPr>
          <w:rFonts w:hint="default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关于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常德汽车总站内部自用柴油加油设施</w:t>
      </w:r>
    </w:p>
    <w:p w14:paraId="4B41E81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（柴油加油点）建设项目</w:t>
      </w:r>
      <w:r>
        <w:rPr>
          <w:rFonts w:hint="eastAsia" w:ascii="方正小标宋简体" w:hAnsi="宋体" w:eastAsia="方正小标宋简体" w:cs="宋体"/>
          <w:sz w:val="44"/>
          <w:szCs w:val="44"/>
        </w:rPr>
        <w:t>环境影响报告表</w:t>
      </w:r>
    </w:p>
    <w:p w14:paraId="0B57009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的批复</w:t>
      </w:r>
    </w:p>
    <w:p w14:paraId="2254DF1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581C83C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湖南常德欣运集团股份有限公司常德汽车总站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237B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关于</w:t>
      </w:r>
      <w:r>
        <w:rPr>
          <w:rFonts w:hint="eastAsia" w:ascii="仿宋_GB2312" w:eastAsia="仿宋_GB2312"/>
          <w:sz w:val="32"/>
          <w:szCs w:val="32"/>
          <w:lang w:eastAsia="zh-CN"/>
        </w:rPr>
        <w:t>申请对</w:t>
      </w:r>
      <w:r>
        <w:rPr>
          <w:rFonts w:hint="eastAsia" w:ascii="仿宋_GB2312" w:eastAsia="仿宋_GB2312"/>
          <w:sz w:val="32"/>
          <w:szCs w:val="32"/>
        </w:rPr>
        <w:t>&lt;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常德汽车总站内部自用柴油加油设施（柴油加油点）建设项目</w:t>
      </w:r>
      <w:r>
        <w:rPr>
          <w:rFonts w:hint="eastAsia" w:ascii="仿宋_GB2312" w:eastAsia="仿宋_GB2312"/>
          <w:sz w:val="32"/>
          <w:szCs w:val="32"/>
          <w:lang w:eastAsia="zh-CN"/>
        </w:rPr>
        <w:t>环</w:t>
      </w:r>
      <w:r>
        <w:rPr>
          <w:rFonts w:hint="eastAsia" w:ascii="仿宋_GB2312" w:eastAsia="仿宋_GB2312"/>
          <w:sz w:val="32"/>
          <w:szCs w:val="32"/>
        </w:rPr>
        <w:t>境影响报告表&gt;</w:t>
      </w:r>
      <w:r>
        <w:rPr>
          <w:rFonts w:hint="eastAsia" w:ascii="仿宋_GB2312" w:eastAsia="仿宋_GB2312"/>
          <w:sz w:val="32"/>
          <w:szCs w:val="32"/>
          <w:lang w:eastAsia="zh-CN"/>
        </w:rPr>
        <w:t>进行审批</w:t>
      </w:r>
      <w:r>
        <w:rPr>
          <w:rFonts w:hint="eastAsia" w:ascii="仿宋_GB2312" w:eastAsia="仿宋_GB2312"/>
          <w:sz w:val="32"/>
          <w:szCs w:val="32"/>
        </w:rPr>
        <w:t>的请示</w:t>
      </w:r>
      <w:r>
        <w:rPr>
          <w:rFonts w:hint="eastAsia" w:ascii="仿宋_GB2312" w:hAnsi="宋体" w:eastAsia="仿宋_GB2312"/>
          <w:sz w:val="32"/>
          <w:szCs w:val="32"/>
        </w:rPr>
        <w:t>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以及附送的</w:t>
      </w:r>
      <w:r>
        <w:rPr>
          <w:rFonts w:hint="eastAsia" w:ascii="仿宋_GB2312" w:hAnsi="宋体" w:eastAsia="仿宋_GB2312"/>
          <w:sz w:val="32"/>
          <w:szCs w:val="32"/>
        </w:rPr>
        <w:t>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常德汽车总站内部自用柴油加油设施（柴油加油点）建设</w:t>
      </w:r>
      <w:r>
        <w:rPr>
          <w:rFonts w:hint="eastAsia" w:ascii="仿宋_GB2312" w:hAnsi="宋体" w:eastAsia="仿宋_GB2312"/>
          <w:sz w:val="32"/>
          <w:szCs w:val="32"/>
        </w:rPr>
        <w:t>项目环境影响报告表》（以下简称《报告表》）及相关材料收悉，</w:t>
      </w:r>
      <w:r>
        <w:rPr>
          <w:rFonts w:hint="eastAsia" w:ascii="仿宋_GB2312" w:hAnsi="仿宋" w:eastAsia="仿宋_GB2312"/>
          <w:bCs/>
          <w:sz w:val="32"/>
          <w:szCs w:val="32"/>
        </w:rPr>
        <w:t>根据专家评审意见、常德市生态环境局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武陵</w:t>
      </w:r>
      <w:r>
        <w:rPr>
          <w:rFonts w:hint="eastAsia" w:ascii="仿宋_GB2312" w:hAnsi="仿宋" w:eastAsia="仿宋_GB2312"/>
          <w:bCs/>
          <w:sz w:val="32"/>
          <w:szCs w:val="32"/>
        </w:rPr>
        <w:t>分局对《报告表》出具的预审意见和《报告表》受理后在网上公示期间未收到反馈意见的情况，</w:t>
      </w:r>
      <w:r>
        <w:rPr>
          <w:rFonts w:hint="eastAsia" w:ascii="仿宋_GB2312" w:eastAsia="仿宋_GB2312"/>
          <w:sz w:val="32"/>
          <w:szCs w:val="32"/>
        </w:rPr>
        <w:t>经研究，现批复如下:</w:t>
      </w:r>
    </w:p>
    <w:p w14:paraId="4B9FF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一、常德汽车总站内部自用柴油加油设施（柴油加油点）建设项目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位于湖南省常德市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武陵区朝阳路2229号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，中心地理坐标为东经11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41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′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958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″，北纬29°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′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604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″。该项目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设置1台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枪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潜油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泵式加油机，1个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0m</w:t>
      </w:r>
      <w:r>
        <w:rPr>
          <w:rFonts w:hint="eastAsia" w:ascii="仿宋_GB2312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的地埋式0#柴油储罐，无汽油储罐，折合油罐总容积为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eastAsia" w:ascii="仿宋_GB2312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（柴油罐容积折半计算）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，不对外销售油品，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不含服务区、汽修、洗车服务等内容，不设置厨房。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项目总投资20万元，其中环保投资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万元，占总投资的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0%。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该项目属于补办环评手续，针对该项目涉嫌存在的违法问题，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已移交常德市生态环境保护综合行政执法支队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处理。</w:t>
      </w:r>
    </w:p>
    <w:p w14:paraId="6D2BD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二、根据《报告表》结论、专家评审意见、常德市生态环境局武陵分局对《报告表》出具的预审意见，以及相关行政主管部门的意见，该项目符合国家产业政策及相关规划要求。你单位在严格落实《报告表》及批复提出的各项生态环境保护和污染防治措施、环境风险防治措施，确保环保设施正常运行、确保污染物达标排放和风险可控的前提下，从生态环境保护角度我局原则同意项目建设。</w:t>
      </w:r>
    </w:p>
    <w:p w14:paraId="5929E7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三、项目在建设和运营管理过程中，必须全面落实《报告表》提出的各项污染防治措施并着重做好如下工作：</w:t>
      </w:r>
    </w:p>
    <w:p w14:paraId="26E171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zh-TW" w:eastAsia="zh-TW" w:bidi="zh-TW"/>
        </w:rPr>
        <w:t>（一）严格落实水污染防治措施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zh-TW" w:eastAsia="zh-CN" w:bidi="zh-TW"/>
        </w:rPr>
        <w:t>。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zh-TW" w:eastAsia="zh-TW" w:bidi="zh-TW"/>
        </w:rPr>
        <w:t>按照雨污分流、清污分流、污污分流的原则建设给排水、污水处理系统。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zh-TW" w:eastAsia="zh-CN" w:bidi="zh-TW"/>
        </w:rPr>
        <w:t>加油卸油区地面清洗废水、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初期雨水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zh-TW" w:eastAsia="zh-CN" w:bidi="zh-TW"/>
        </w:rPr>
        <w:t>经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截流沟收集后汇入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zh-TW" w:eastAsia="zh-CN" w:bidi="zh-TW"/>
        </w:rPr>
        <w:t>隔油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池处理，与依托常德汽车总站现有化粪池处理后的生活污水一道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zh-TW" w:eastAsia="zh-CN" w:bidi="zh-TW"/>
        </w:rPr>
        <w:t>排入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市政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zh-TW" w:eastAsia="zh-CN" w:bidi="zh-TW"/>
        </w:rPr>
        <w:t>污水管网，最终汇入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柳叶湖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污水处理厂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zh-TW" w:eastAsia="zh-CN" w:bidi="zh-TW"/>
        </w:rPr>
        <w:t>处理。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项目污水排入市政污水管网须达到《污水综合排放标准》（GB8978-1996）表4三级标准并满足柳叶湖污水处理厂进水水质标准要求。</w:t>
      </w:r>
    </w:p>
    <w:p w14:paraId="180AC4E8"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（二）严格落实大气污染防治措施。加强对输油管道和卸油、加油、储油设备及油品运输、贮存的管理。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油品储存采取密闭储存措施，通气管口安装阻火透气帽，卸载、储油产生的油气通过阻火透气帽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经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m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高通气管排放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。加油站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厂界非甲烷总烃无组织监控浓度执行《大气污染物综合排放标准》（GB16279-1996）表2中无组织排放监控浓度限值要求；厂区内非甲烷总烃无组织排放监控点浓度限值执行《挥发性有机物无组织排放控制标准》（GB37822-2019）附录A厂区内VOCs无组织排放限值中排放限值要求。</w:t>
      </w:r>
    </w:p>
    <w:p w14:paraId="1FB7E4D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zh-TW" w:eastAsia="zh-TW"/>
        </w:rPr>
        <w:t>（三）严格落实噪声环境管理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zh-TW" w:eastAsia="zh-CN"/>
        </w:rPr>
        <w:t>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选用低噪声设备，并采取减振、消声、隔声等措施降低设备噪声排放，禁止不符合国家噪声排放标准的运输车辆进入站内，限制车速。厂界东侧和南侧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zh-TW" w:eastAsia="zh-CN"/>
        </w:rPr>
        <w:t>噪声执行《工业企业厂界环境噪声排放标准》（GB12348-2008）中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4类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zh-TW" w:eastAsia="zh-CN"/>
        </w:rPr>
        <w:t>标准要求，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厂界西侧和北侧噪声执行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zh-TW" w:eastAsia="zh-CN"/>
        </w:rPr>
        <w:t>《工业企业厂界环境噪声排放标准》（GB12348-2008）中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2类标准要求。</w:t>
      </w:r>
    </w:p>
    <w:p w14:paraId="006EA7B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（四）严格落实固体废物分类管理与处置措施。做好固体废物的分类收集、暂存和处置工作，危险废物定期移交有资质单位处置。严格按规范要求设置危废暂存间，其建设、运行和管理应分别满足《一般工业固体废物贮存和填埋污染控制标准》（GB18599-2020）和《危险废物贮存污染控制标准》（GB18597-2023）要求。</w:t>
      </w:r>
    </w:p>
    <w:p w14:paraId="4EC3474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（五）落实土壤及地下水污染防治措施。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应严格参照执行《汽车加油加气加氢站技术标准》（GB50156-2021）要求落实防渗措施，对加油区及罐区地面、输油管线表面进行防腐、防渗处理，配备渗漏检测传感器与自动报警系统，输油管道采用双层管线并设置泄漏检测设施。落实地下油罐区、卸油区、加油区、危废暂存间等重点防渗区的防渗措施，建立防渗监测台账，详细记录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自动报警系统运行数据及地下观测井监测结果。</w:t>
      </w:r>
    </w:p>
    <w:p w14:paraId="02F6E1B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（六）落实环境风险防控措施。建立环保规章制度和岗位责任制，落实各项事故应急防范措施，严防风险事故发生。</w:t>
      </w:r>
    </w:p>
    <w:p w14:paraId="4E188F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FF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《报告表》经批准后，建设项目的性质、规模、地点、采用的生产工艺或者防治污染、防止生态破坏的措施发生重大变动的，应重新向我局报批环境影响评价文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件。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项目须完善排污许可相关手续，并严格按规定程序实施竣工环境保护验收。本项目建设、运行依法需要其他行政许可的，你单位应按规定及时办理并取得其他行政许可。</w:t>
      </w:r>
    </w:p>
    <w:p w14:paraId="60C247B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该项目的“三同时”监督检查及日常环境管理工作按属地管理原则由常德市生态环境局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武陵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分局具体负责。你</w:t>
      </w:r>
      <w:r>
        <w:rPr>
          <w:rFonts w:hint="eastAsia" w:ascii="仿宋_GB2312" w:eastAsia="仿宋_GB2312"/>
          <w:color w:val="auto"/>
          <w:sz w:val="32"/>
          <w:szCs w:val="32"/>
        </w:rPr>
        <w:t>单位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应在收到本批复后的5个工作日内，将批准后的《报告表》及本批复送至常德市生态环境局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武陵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分局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04988FA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487E250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5E06D72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left="0" w:leftChars="0" w:firstLine="5040" w:firstLineChars="1575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常德市生态环境局</w:t>
      </w:r>
    </w:p>
    <w:p w14:paraId="4AF867F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left="0" w:leftChars="0" w:firstLine="5040" w:firstLineChars="1575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34BB0C02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3E8CB89D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454E7E9D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7AB1911A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3DBC5DC0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0092C5F1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0BA620C4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5610E1CA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36B42B88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4B7E2CA6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219B4830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49192845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755702F0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2539465C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6613B62C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735A80DB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6B4550B9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77BDB8D6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68ED96F4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05366D42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6DAEE0A4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222464B4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4C93286A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3B65EB8B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08A97A0A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4D3F7029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eastAsia"/>
          <w:color w:val="auto"/>
          <w:lang w:val="de-DE"/>
        </w:rPr>
      </w:pPr>
    </w:p>
    <w:p w14:paraId="1FF06074">
      <w:pPr>
        <w:pBdr>
          <w:top w:val="single" w:color="auto" w:sz="4" w:space="1"/>
          <w:bottom w:val="single" w:color="auto" w:sz="4" w:space="1"/>
        </w:pBdr>
        <w:spacing w:line="560" w:lineRule="exac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抄送：</w:t>
      </w:r>
      <w:r>
        <w:rPr>
          <w:rFonts w:hint="eastAsia" w:ascii="仿宋_GB2312" w:hAnsi="仿宋" w:eastAsia="仿宋_GB2312" w:cs="仿宋"/>
          <w:sz w:val="28"/>
          <w:szCs w:val="28"/>
        </w:rPr>
        <w:t>常德市生态环境局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武陵</w:t>
      </w:r>
      <w:r>
        <w:rPr>
          <w:rFonts w:hint="eastAsia" w:ascii="仿宋_GB2312" w:hAnsi="仿宋" w:eastAsia="仿宋_GB2312" w:cs="仿宋"/>
          <w:sz w:val="28"/>
          <w:szCs w:val="28"/>
        </w:rPr>
        <w:t>分局、湖南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志远环境咨询服务</w:t>
      </w:r>
      <w:r>
        <w:rPr>
          <w:rFonts w:hint="eastAsia" w:ascii="仿宋_GB2312" w:hAnsi="仿宋" w:eastAsia="仿宋_GB2312" w:cs="仿宋"/>
          <w:sz w:val="28"/>
          <w:szCs w:val="28"/>
        </w:rPr>
        <w:t>有限公司</w:t>
      </w:r>
    </w:p>
    <w:sectPr>
      <w:footerReference r:id="rId3" w:type="default"/>
      <w:footerReference r:id="rId4" w:type="even"/>
      <w:pgSz w:w="11906" w:h="16838"/>
      <w:pgMar w:top="2098" w:right="1474" w:bottom="1701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1F39FAD-F5B7-4700-AAE6-E1E47719905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D29612-0DBA-44A3-9464-54C0EC05DA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96AFF58-04B4-4827-B0B1-2F81F70B6C8D}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CF6CEDE-A113-4AB4-8E95-9139F021456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8BD179EA-CE8F-4C26-B449-C86463140E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7DC56">
    <w:pPr>
      <w:pStyle w:val="11"/>
      <w:framePr w:wrap="around" w:vAnchor="text" w:hAnchor="margin" w:xAlign="outside" w:y="1"/>
      <w:rPr>
        <w:rStyle w:val="18"/>
      </w:rPr>
    </w:pPr>
    <w:r>
      <w:rPr>
        <w:rStyle w:val="18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18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8"/>
        <w:rFonts w:hint="eastAsia" w:ascii="宋体" w:hAnsi="宋体" w:eastAsia="宋体" w:cs="宋体"/>
        <w:sz w:val="28"/>
        <w:szCs w:val="28"/>
      </w:rPr>
      <w:t>- 3 -</w:t>
    </w:r>
    <w:r>
      <w:rPr>
        <w:rStyle w:val="18"/>
        <w:rFonts w:hint="eastAsia" w:ascii="宋体" w:hAnsi="宋体" w:eastAsia="宋体" w:cs="宋体"/>
        <w:sz w:val="28"/>
        <w:szCs w:val="28"/>
      </w:rPr>
      <w:fldChar w:fldCharType="end"/>
    </w:r>
  </w:p>
  <w:p w14:paraId="0630286B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1EEEE">
    <w:pPr>
      <w:pStyle w:val="11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27EFF2F8"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YmRiOWU0YTUxMDc4YTA5NzNmZTQ5NTViYTU5ZGUifQ=="/>
  </w:docVars>
  <w:rsids>
    <w:rsidRoot w:val="004C3807"/>
    <w:rsid w:val="00052B72"/>
    <w:rsid w:val="001643DB"/>
    <w:rsid w:val="0024268E"/>
    <w:rsid w:val="00256BE7"/>
    <w:rsid w:val="00294C82"/>
    <w:rsid w:val="002F4BC5"/>
    <w:rsid w:val="00367CA3"/>
    <w:rsid w:val="003B2CB4"/>
    <w:rsid w:val="003B7465"/>
    <w:rsid w:val="004338BE"/>
    <w:rsid w:val="00474B02"/>
    <w:rsid w:val="00494704"/>
    <w:rsid w:val="004C3807"/>
    <w:rsid w:val="00520ABA"/>
    <w:rsid w:val="0055308C"/>
    <w:rsid w:val="007F0D6F"/>
    <w:rsid w:val="00954B07"/>
    <w:rsid w:val="00980215"/>
    <w:rsid w:val="009D52F8"/>
    <w:rsid w:val="009F1E91"/>
    <w:rsid w:val="00A053AF"/>
    <w:rsid w:val="00AA67D1"/>
    <w:rsid w:val="00B26FE0"/>
    <w:rsid w:val="00B4606A"/>
    <w:rsid w:val="00BB4A01"/>
    <w:rsid w:val="00BC2411"/>
    <w:rsid w:val="00C1670E"/>
    <w:rsid w:val="00C64152"/>
    <w:rsid w:val="00D07058"/>
    <w:rsid w:val="00D44E2E"/>
    <w:rsid w:val="00D81985"/>
    <w:rsid w:val="00DC7C66"/>
    <w:rsid w:val="00ED4B49"/>
    <w:rsid w:val="00EE25C6"/>
    <w:rsid w:val="00EE45FE"/>
    <w:rsid w:val="00FE48CE"/>
    <w:rsid w:val="019D2E17"/>
    <w:rsid w:val="03534511"/>
    <w:rsid w:val="0471197A"/>
    <w:rsid w:val="085B5DA7"/>
    <w:rsid w:val="08805C64"/>
    <w:rsid w:val="092C1016"/>
    <w:rsid w:val="0B8E1003"/>
    <w:rsid w:val="0BBF7829"/>
    <w:rsid w:val="0E9B0A2A"/>
    <w:rsid w:val="0F085157"/>
    <w:rsid w:val="10184AC9"/>
    <w:rsid w:val="1126110E"/>
    <w:rsid w:val="132C04A0"/>
    <w:rsid w:val="1389765F"/>
    <w:rsid w:val="14593115"/>
    <w:rsid w:val="15C06274"/>
    <w:rsid w:val="184B0995"/>
    <w:rsid w:val="18B76C64"/>
    <w:rsid w:val="1B410951"/>
    <w:rsid w:val="1F23128A"/>
    <w:rsid w:val="1F505606"/>
    <w:rsid w:val="22DB168B"/>
    <w:rsid w:val="243928EC"/>
    <w:rsid w:val="29C2251B"/>
    <w:rsid w:val="2E58221E"/>
    <w:rsid w:val="31F82F6C"/>
    <w:rsid w:val="35583FF8"/>
    <w:rsid w:val="388C54AA"/>
    <w:rsid w:val="39020885"/>
    <w:rsid w:val="3AE815E5"/>
    <w:rsid w:val="3BE5048C"/>
    <w:rsid w:val="3C3B0C93"/>
    <w:rsid w:val="3D2350D0"/>
    <w:rsid w:val="3E960017"/>
    <w:rsid w:val="430106B5"/>
    <w:rsid w:val="43FE4A9D"/>
    <w:rsid w:val="471C1A20"/>
    <w:rsid w:val="4B923A9F"/>
    <w:rsid w:val="4C1635B0"/>
    <w:rsid w:val="4C47F0AA"/>
    <w:rsid w:val="51087240"/>
    <w:rsid w:val="515D57DD"/>
    <w:rsid w:val="52D80D7C"/>
    <w:rsid w:val="555B75B1"/>
    <w:rsid w:val="56BF010F"/>
    <w:rsid w:val="58794B99"/>
    <w:rsid w:val="58941929"/>
    <w:rsid w:val="58BD3CAD"/>
    <w:rsid w:val="5E23390B"/>
    <w:rsid w:val="61C34958"/>
    <w:rsid w:val="61DF3A9F"/>
    <w:rsid w:val="63D27752"/>
    <w:rsid w:val="65283AEE"/>
    <w:rsid w:val="69A749A9"/>
    <w:rsid w:val="6B1220D6"/>
    <w:rsid w:val="6B1453A3"/>
    <w:rsid w:val="6C8308EA"/>
    <w:rsid w:val="70C97788"/>
    <w:rsid w:val="717B6032"/>
    <w:rsid w:val="71AF7042"/>
    <w:rsid w:val="73616252"/>
    <w:rsid w:val="76F96259"/>
    <w:rsid w:val="7BBA5457"/>
    <w:rsid w:val="7D046C66"/>
    <w:rsid w:val="7FDF4661"/>
    <w:rsid w:val="FDFB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Cs w:val="20"/>
    </w:rPr>
  </w:style>
  <w:style w:type="paragraph" w:styleId="5">
    <w:name w:val="Body Text First Indent"/>
    <w:basedOn w:val="1"/>
    <w:qFormat/>
    <w:uiPriority w:val="0"/>
    <w:pPr>
      <w:spacing w:after="120"/>
      <w:ind w:firstLine="420" w:firstLineChars="100"/>
      <w:jc w:val="both"/>
    </w:pPr>
  </w:style>
  <w:style w:type="paragraph" w:styleId="6">
    <w:name w:val="Normal Indent"/>
    <w:basedOn w:val="1"/>
    <w:next w:val="1"/>
    <w:qFormat/>
    <w:uiPriority w:val="0"/>
    <w:pPr>
      <w:ind w:firstLine="420"/>
    </w:pPr>
    <w:rPr>
      <w:rFonts w:ascii="Calibri" w:hAnsi="Calibri"/>
      <w:szCs w:val="20"/>
    </w:rPr>
  </w:style>
  <w:style w:type="paragraph" w:styleId="7">
    <w:name w:val="Body Text"/>
    <w:basedOn w:val="1"/>
    <w:next w:val="8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customStyle="1" w:styleId="8">
    <w:name w:val="xl27"/>
    <w:basedOn w:val="1"/>
    <w:next w:val="9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0"/>
      <w:szCs w:val="20"/>
    </w:rPr>
  </w:style>
  <w:style w:type="paragraph" w:customStyle="1" w:styleId="9">
    <w:name w:val="A正文"/>
    <w:qFormat/>
    <w:uiPriority w:val="99"/>
    <w:pPr>
      <w:spacing w:line="480" w:lineRule="exact"/>
      <w:ind w:firstLine="480"/>
    </w:pPr>
    <w:rPr>
      <w:rFonts w:ascii="宋体" w:hAnsi="宋体" w:eastAsia="宋体" w:cs="Times New Roman"/>
      <w:sz w:val="24"/>
      <w:szCs w:val="22"/>
      <w:lang w:val="en-US" w:eastAsia="zh-CN" w:bidi="ar-SA"/>
    </w:rPr>
  </w:style>
  <w:style w:type="paragraph" w:styleId="10">
    <w:name w:val="Plain Text"/>
    <w:basedOn w:val="1"/>
    <w:next w:val="1"/>
    <w:qFormat/>
    <w:uiPriority w:val="0"/>
    <w:pPr>
      <w:tabs>
        <w:tab w:val="left" w:pos="7380"/>
      </w:tabs>
      <w:spacing w:line="400" w:lineRule="exact"/>
      <w:jc w:val="center"/>
    </w:pPr>
    <w:rPr>
      <w:color w:val="000000"/>
      <w:kern w:val="21"/>
      <w:sz w:val="24"/>
      <w:szCs w:val="20"/>
      <w:lang w:val="de-DE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Body Text 2"/>
    <w:basedOn w:val="1"/>
    <w:next w:val="7"/>
    <w:link w:val="19"/>
    <w:qFormat/>
    <w:uiPriority w:val="0"/>
    <w:pPr>
      <w:spacing w:after="120" w:line="480" w:lineRule="auto"/>
    </w:p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正文文本 2 字符"/>
    <w:link w:val="14"/>
    <w:qFormat/>
    <w:uiPriority w:val="0"/>
  </w:style>
  <w:style w:type="paragraph" w:customStyle="1" w:styleId="20">
    <w:name w:val="（正文）"/>
    <w:basedOn w:val="10"/>
    <w:next w:val="21"/>
    <w:qFormat/>
    <w:uiPriority w:val="0"/>
    <w:pPr>
      <w:spacing w:line="360" w:lineRule="auto"/>
      <w:ind w:firstLine="480"/>
    </w:pPr>
    <w:rPr>
      <w:rFonts w:ascii="仿宋" w:hAnsi="仿宋" w:eastAsia="仿宋" w:cs="仿宋"/>
    </w:rPr>
  </w:style>
  <w:style w:type="paragraph" w:customStyle="1" w:styleId="21">
    <w:name w:val="_正文"/>
    <w:qFormat/>
    <w:uiPriority w:val="0"/>
    <w:pPr>
      <w:spacing w:line="360" w:lineRule="auto"/>
      <w:ind w:firstLine="560" w:firstLineChars="200"/>
      <w:jc w:val="both"/>
    </w:pPr>
    <w:rPr>
      <w:rFonts w:ascii="宋体" w:hAnsi="宋体" w:eastAsia="宋体" w:cs="Times New Roman"/>
      <w:bCs/>
      <w:iCs/>
      <w:snapToGrid w:val="0"/>
      <w:color w:val="000000"/>
      <w:kern w:val="2"/>
      <w:sz w:val="28"/>
      <w:szCs w:val="28"/>
      <w:lang w:val="en-US" w:eastAsia="zh-CN" w:bidi="ar-SA"/>
    </w:rPr>
  </w:style>
  <w:style w:type="character" w:customStyle="1" w:styleId="22">
    <w:name w:val="页眉 字符"/>
    <w:basedOn w:val="16"/>
    <w:link w:val="1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23">
    <w:name w:val="Body text|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1914</Words>
  <Characters>2037</Characters>
  <Lines>16</Lines>
  <Paragraphs>4</Paragraphs>
  <TotalTime>117</TotalTime>
  <ScaleCrop>false</ScaleCrop>
  <LinksUpToDate>false</LinksUpToDate>
  <CharactersWithSpaces>2038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Administrator.WQ-20151220QFPQ</dc:creator>
  <cp:lastModifiedBy>曼施泰因</cp:lastModifiedBy>
  <cp:lastPrinted>2025-07-23T08:15:00Z</cp:lastPrinted>
  <dcterms:modified xsi:type="dcterms:W3CDTF">2026-06-02T07:47:00Z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4F75BAD062AD4B64A2D808783A2EB05B_13</vt:lpwstr>
  </property>
  <property fmtid="{D5CDD505-2E9C-101B-9397-08002B2CF9AE}" pid="4" name="KSOTemplateDocerSaveRecord">
    <vt:lpwstr>eyJoZGlkIjoiMjdjODFhMDIzOWJhNmU0OGNjZTQ1NTdhYTE4ZjBjZDgiLCJ1c2VySWQiOiIyNzA0MDE4ODkifQ==</vt:lpwstr>
  </property>
</Properties>
</file>