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D10C48" w14:textId="77777777" w:rsidR="00E4310D" w:rsidRDefault="00E4310D">
      <w:pPr>
        <w:tabs>
          <w:tab w:val="left" w:pos="7380"/>
        </w:tabs>
        <w:spacing w:line="980" w:lineRule="exact"/>
        <w:ind w:firstLineChars="1700" w:firstLine="5440"/>
        <w:rPr>
          <w:rFonts w:ascii="仿宋_GB2312" w:eastAsia="仿宋_GB2312" w:hint="eastAsia"/>
          <w:bCs/>
          <w:sz w:val="32"/>
        </w:rPr>
      </w:pPr>
    </w:p>
    <w:p w14:paraId="34D11580" w14:textId="77777777" w:rsidR="00E4310D" w:rsidRDefault="00000000">
      <w:pPr>
        <w:tabs>
          <w:tab w:val="left" w:pos="7380"/>
        </w:tabs>
        <w:spacing w:line="540" w:lineRule="exact"/>
        <w:ind w:firstLineChars="1700" w:firstLine="5440"/>
        <w:rPr>
          <w:rFonts w:ascii="仿宋_GB2312" w:eastAsia="仿宋_GB2312"/>
          <w:bCs/>
          <w:sz w:val="32"/>
        </w:rPr>
      </w:pPr>
      <w:r>
        <w:rPr>
          <w:rFonts w:ascii="仿宋_GB2312" w:eastAsia="仿宋_GB2312" w:hint="eastAsia"/>
          <w:bCs/>
          <w:sz w:val="32"/>
        </w:rPr>
        <w:t>常环建〔202</w:t>
      </w:r>
      <w:r>
        <w:rPr>
          <w:rFonts w:ascii="仿宋_GB2312" w:eastAsia="仿宋_GB2312"/>
          <w:bCs/>
          <w:sz w:val="32"/>
        </w:rPr>
        <w:t>6</w:t>
      </w:r>
      <w:r>
        <w:rPr>
          <w:rFonts w:ascii="仿宋_GB2312" w:eastAsia="仿宋_GB2312" w:hint="eastAsia"/>
          <w:bCs/>
          <w:sz w:val="32"/>
        </w:rPr>
        <w:t>〕</w:t>
      </w:r>
      <w:r>
        <w:rPr>
          <w:rFonts w:ascii="仿宋_GB2312" w:eastAsia="仿宋_GB2312"/>
          <w:bCs/>
          <w:sz w:val="32"/>
        </w:rPr>
        <w:t>28</w:t>
      </w:r>
      <w:r>
        <w:rPr>
          <w:rFonts w:ascii="仿宋_GB2312" w:eastAsia="仿宋_GB2312" w:hint="eastAsia"/>
          <w:bCs/>
          <w:sz w:val="32"/>
        </w:rPr>
        <w:t>号</w:t>
      </w:r>
    </w:p>
    <w:p w14:paraId="5432A657" w14:textId="77777777" w:rsidR="00E4310D" w:rsidRDefault="00E4310D">
      <w:pPr>
        <w:tabs>
          <w:tab w:val="left" w:pos="7380"/>
        </w:tabs>
        <w:spacing w:line="580" w:lineRule="exact"/>
        <w:ind w:firstLineChars="1600" w:firstLine="5120"/>
        <w:rPr>
          <w:rFonts w:ascii="楷体_GB2312" w:eastAsia="楷体_GB2312"/>
          <w:bCs/>
          <w:sz w:val="32"/>
        </w:rPr>
      </w:pPr>
    </w:p>
    <w:p w14:paraId="36244574" w14:textId="77777777" w:rsidR="00E4310D" w:rsidRDefault="00000000">
      <w:pPr>
        <w:spacing w:line="540" w:lineRule="exact"/>
        <w:jc w:val="center"/>
        <w:rPr>
          <w:rFonts w:ascii="方正小标宋简体" w:eastAsia="方正小标宋简体" w:hAnsi="宋体" w:hint="eastAsia"/>
          <w:bCs/>
          <w:sz w:val="44"/>
          <w:szCs w:val="44"/>
        </w:rPr>
      </w:pPr>
      <w:r>
        <w:rPr>
          <w:rFonts w:ascii="方正小标宋简体" w:eastAsia="方正小标宋简体" w:hAnsi="宋体" w:hint="eastAsia"/>
          <w:bCs/>
          <w:sz w:val="44"/>
          <w:szCs w:val="44"/>
        </w:rPr>
        <w:t>常德市生态环境局</w:t>
      </w:r>
    </w:p>
    <w:p w14:paraId="2889318F" w14:textId="77777777" w:rsidR="00E4310D" w:rsidRDefault="00000000">
      <w:pPr>
        <w:tabs>
          <w:tab w:val="left" w:pos="540"/>
          <w:tab w:val="left" w:pos="720"/>
        </w:tabs>
        <w:spacing w:line="540" w:lineRule="exact"/>
        <w:jc w:val="center"/>
        <w:rPr>
          <w:rFonts w:ascii="方正小标宋简体" w:eastAsia="方正小标宋简体" w:hAnsi="宋体" w:hint="eastAsia"/>
          <w:bCs/>
          <w:sz w:val="44"/>
          <w:szCs w:val="44"/>
        </w:rPr>
      </w:pPr>
      <w:r>
        <w:rPr>
          <w:rFonts w:ascii="方正小标宋简体" w:eastAsia="方正小标宋简体" w:hAnsi="宋体" w:hint="eastAsia"/>
          <w:bCs/>
          <w:sz w:val="44"/>
          <w:szCs w:val="44"/>
        </w:rPr>
        <w:t>关于康普药业股份有限公司原料药</w:t>
      </w:r>
      <w:r>
        <w:rPr>
          <w:rFonts w:ascii="方正小标宋简体" w:eastAsia="方正小标宋简体" w:hAnsi="宋体"/>
          <w:bCs/>
          <w:sz w:val="44"/>
          <w:szCs w:val="44"/>
        </w:rPr>
        <w:t>车间</w:t>
      </w:r>
      <w:r>
        <w:rPr>
          <w:rFonts w:ascii="方正小标宋简体" w:eastAsia="方正小标宋简体" w:hAnsi="宋体" w:hint="eastAsia"/>
          <w:bCs/>
          <w:sz w:val="44"/>
          <w:szCs w:val="44"/>
        </w:rPr>
        <w:t>扩建项目（</w:t>
      </w:r>
      <w:r>
        <w:rPr>
          <w:rFonts w:ascii="方正小标宋简体" w:eastAsia="方正小标宋简体" w:hAnsi="宋体"/>
          <w:bCs/>
          <w:sz w:val="44"/>
          <w:szCs w:val="44"/>
        </w:rPr>
        <w:t>辅酶Q10、非诺洛芬钙、盐酸兰地洛尔、盐酸异丙嗪</w:t>
      </w:r>
      <w:r>
        <w:rPr>
          <w:rFonts w:ascii="方正小标宋简体" w:eastAsia="方正小标宋简体" w:hAnsi="宋体" w:hint="eastAsia"/>
          <w:bCs/>
          <w:sz w:val="44"/>
          <w:szCs w:val="44"/>
        </w:rPr>
        <w:t>）环境影响报告书的批复</w:t>
      </w:r>
    </w:p>
    <w:p w14:paraId="323EFA31" w14:textId="77777777" w:rsidR="00E4310D" w:rsidRDefault="00E4310D">
      <w:pPr>
        <w:spacing w:line="560" w:lineRule="exact"/>
        <w:rPr>
          <w:rFonts w:ascii="仿宋_GB2312" w:eastAsia="仿宋_GB2312" w:hAnsi="宋体" w:hint="eastAsia"/>
          <w:bCs/>
          <w:sz w:val="44"/>
          <w:szCs w:val="44"/>
        </w:rPr>
      </w:pPr>
    </w:p>
    <w:p w14:paraId="3510E8F7" w14:textId="77777777" w:rsidR="00E4310D" w:rsidRDefault="00000000">
      <w:pPr>
        <w:spacing w:line="560" w:lineRule="exact"/>
        <w:rPr>
          <w:rFonts w:ascii="仿宋_GB2312" w:eastAsia="仿宋_GB2312"/>
          <w:sz w:val="32"/>
          <w:szCs w:val="32"/>
        </w:rPr>
      </w:pPr>
      <w:r>
        <w:rPr>
          <w:rFonts w:ascii="仿宋_GB2312" w:eastAsia="仿宋_GB2312" w:hAnsi="仿宋" w:hint="eastAsia"/>
          <w:bCs/>
          <w:sz w:val="32"/>
          <w:szCs w:val="32"/>
        </w:rPr>
        <w:t>康普药业股份有限公司</w:t>
      </w:r>
      <w:r>
        <w:rPr>
          <w:rFonts w:ascii="仿宋_GB2312" w:eastAsia="仿宋_GB2312" w:hint="eastAsia"/>
          <w:sz w:val="32"/>
        </w:rPr>
        <w:t>：</w:t>
      </w:r>
    </w:p>
    <w:p w14:paraId="64C62A4A" w14:textId="77777777" w:rsidR="00E4310D" w:rsidRDefault="00000000">
      <w:pPr>
        <w:spacing w:line="560" w:lineRule="exact"/>
        <w:ind w:firstLineChars="200" w:firstLine="640"/>
        <w:rPr>
          <w:rFonts w:ascii="仿宋_GB2312" w:eastAsia="仿宋_GB2312" w:hAnsi="仿宋" w:cs="仿宋" w:hint="eastAsia"/>
          <w:color w:val="C00000"/>
          <w:sz w:val="32"/>
          <w:szCs w:val="32"/>
        </w:rPr>
      </w:pPr>
      <w:r>
        <w:rPr>
          <w:rFonts w:ascii="仿宋_GB2312" w:eastAsia="仿宋_GB2312" w:hint="eastAsia"/>
          <w:sz w:val="32"/>
          <w:szCs w:val="32"/>
        </w:rPr>
        <w:t>你公司《</w:t>
      </w:r>
      <w:r>
        <w:rPr>
          <w:rFonts w:ascii="仿宋_GB2312" w:eastAsia="仿宋_GB2312" w:hAnsi="仿宋" w:hint="eastAsia"/>
          <w:bCs/>
          <w:sz w:val="32"/>
          <w:szCs w:val="32"/>
        </w:rPr>
        <w:t>康普药业股份有限公司原料药车间扩建项目（辅酶Q10、非诺洛芬钙、盐酸兰地洛尔、盐酸异丙嗪）环境影响报告书</w:t>
      </w:r>
      <w:r>
        <w:rPr>
          <w:rFonts w:ascii="仿宋_GB2312" w:eastAsia="仿宋_GB2312" w:hint="eastAsia"/>
          <w:sz w:val="32"/>
          <w:szCs w:val="32"/>
        </w:rPr>
        <w:t>》</w:t>
      </w:r>
      <w:r>
        <w:rPr>
          <w:rFonts w:ascii="仿宋_GB2312" w:eastAsia="仿宋_GB2312" w:hAnsi="仿宋" w:cs="仿宋" w:hint="eastAsia"/>
          <w:sz w:val="32"/>
          <w:szCs w:val="32"/>
        </w:rPr>
        <w:t>（以下简称《报告书》）</w:t>
      </w:r>
      <w:r>
        <w:rPr>
          <w:rFonts w:ascii="仿宋_GB2312" w:eastAsia="仿宋_GB2312" w:hAnsi="仿宋" w:hint="eastAsia"/>
          <w:bCs/>
          <w:sz w:val="32"/>
          <w:szCs w:val="32"/>
        </w:rPr>
        <w:t>、</w:t>
      </w:r>
      <w:r>
        <w:rPr>
          <w:rFonts w:ascii="仿宋_GB2312" w:eastAsia="仿宋_GB2312" w:hint="eastAsia"/>
          <w:sz w:val="32"/>
          <w:szCs w:val="32"/>
        </w:rPr>
        <w:t>《</w:t>
      </w:r>
      <w:r>
        <w:rPr>
          <w:rFonts w:ascii="仿宋_GB2312" w:eastAsia="仿宋_GB2312" w:hAnsi="仿宋" w:hint="eastAsia"/>
          <w:bCs/>
          <w:sz w:val="32"/>
          <w:szCs w:val="32"/>
        </w:rPr>
        <w:t>康普药业股份有限公司原料药车间扩建项目（辅酶Q10、非诺洛芬钙、盐酸兰地洛尔、盐酸异丙嗪）环境影响评价公众参与说明》、常德市生态环境局汉寿分局《关于康普药业股份有限公司原料药车间扩建项目（辅酶Q10、非诺洛芬钙、盐酸兰地洛尔、盐酸异丙嗪）环境影响报告书预审意见》等有关材料收悉，</w:t>
      </w:r>
      <w:r>
        <w:rPr>
          <w:rFonts w:ascii="仿宋_GB2312" w:eastAsia="仿宋_GB2312" w:hAnsi="仿宋_GB2312" w:cs="仿宋_GB2312" w:hint="eastAsia"/>
          <w:bCs/>
          <w:sz w:val="32"/>
          <w:szCs w:val="32"/>
        </w:rPr>
        <w:t>结合</w:t>
      </w:r>
      <w:r>
        <w:rPr>
          <w:rFonts w:ascii="仿宋_GB2312" w:eastAsia="仿宋_GB2312" w:hAnsi="仿宋_GB2312" w:cs="仿宋_GB2312" w:hint="eastAsia"/>
          <w:color w:val="000000"/>
          <w:kern w:val="0"/>
          <w:sz w:val="32"/>
          <w:szCs w:val="32"/>
        </w:rPr>
        <w:t>常德市生态环境事务中心组织专家对《报告书》进行评审出具的“常环评估〔2025〕</w:t>
      </w:r>
      <w:r>
        <w:rPr>
          <w:rFonts w:ascii="仿宋_GB2312" w:eastAsia="仿宋_GB2312" w:hAnsi="仿宋_GB2312" w:cs="仿宋_GB2312"/>
          <w:color w:val="000000"/>
          <w:kern w:val="0"/>
          <w:sz w:val="32"/>
          <w:szCs w:val="32"/>
        </w:rPr>
        <w:t>20</w:t>
      </w:r>
      <w:r>
        <w:rPr>
          <w:rFonts w:ascii="仿宋_GB2312" w:eastAsia="仿宋_GB2312" w:hAnsi="仿宋_GB2312" w:cs="仿宋_GB2312" w:hint="eastAsia"/>
          <w:color w:val="000000"/>
          <w:kern w:val="0"/>
          <w:sz w:val="32"/>
          <w:szCs w:val="32"/>
        </w:rPr>
        <w:t>号”技术评估报告、</w:t>
      </w:r>
      <w:r>
        <w:rPr>
          <w:rFonts w:ascii="仿宋_GB2312" w:eastAsia="仿宋_GB2312" w:hAnsi="仿宋" w:hint="eastAsia"/>
          <w:bCs/>
          <w:sz w:val="32"/>
          <w:szCs w:val="32"/>
        </w:rPr>
        <w:t>《报告书》受理后在网上公示期间未收到反馈意见的情况，</w:t>
      </w:r>
      <w:r>
        <w:rPr>
          <w:rFonts w:ascii="仿宋_GB2312" w:eastAsia="仿宋_GB2312" w:hint="eastAsia"/>
          <w:sz w:val="32"/>
          <w:szCs w:val="32"/>
        </w:rPr>
        <w:t>经研究，现批复如下:</w:t>
      </w:r>
    </w:p>
    <w:p w14:paraId="21513B91" w14:textId="77777777" w:rsidR="00E4310D" w:rsidRDefault="00000000">
      <w:pPr>
        <w:numPr>
          <w:ilvl w:val="0"/>
          <w:numId w:val="1"/>
        </w:numPr>
        <w:spacing w:line="560" w:lineRule="exact"/>
        <w:ind w:firstLineChars="200" w:firstLine="640"/>
        <w:rPr>
          <w:rFonts w:ascii="仿宋_GB2312" w:eastAsia="仿宋_GB2312"/>
          <w:sz w:val="32"/>
          <w:szCs w:val="32"/>
        </w:rPr>
      </w:pPr>
      <w:r>
        <w:rPr>
          <w:rFonts w:ascii="仿宋_GB2312" w:eastAsia="仿宋_GB2312" w:hAnsi="仿宋" w:cs="仿宋" w:hint="eastAsia"/>
          <w:sz w:val="32"/>
          <w:szCs w:val="32"/>
        </w:rPr>
        <w:t>该项目位于常德市汉寿县高新技术</w:t>
      </w:r>
      <w:proofErr w:type="gramStart"/>
      <w:r>
        <w:rPr>
          <w:rFonts w:ascii="仿宋_GB2312" w:eastAsia="仿宋_GB2312" w:hAnsi="仿宋" w:cs="仿宋" w:hint="eastAsia"/>
          <w:sz w:val="32"/>
          <w:szCs w:val="32"/>
        </w:rPr>
        <w:t>产业园康普</w:t>
      </w:r>
      <w:proofErr w:type="gramEnd"/>
      <w:r>
        <w:rPr>
          <w:rFonts w:ascii="仿宋_GB2312" w:eastAsia="仿宋_GB2312" w:hAnsi="仿宋" w:cs="仿宋" w:hint="eastAsia"/>
          <w:sz w:val="32"/>
          <w:szCs w:val="32"/>
        </w:rPr>
        <w:t>大道8号，</w:t>
      </w:r>
      <w:r>
        <w:rPr>
          <w:rFonts w:ascii="仿宋" w:eastAsia="仿宋" w:hAnsi="仿宋" w:cs="仿宋" w:hint="eastAsia"/>
          <w:sz w:val="32"/>
          <w:szCs w:val="32"/>
        </w:rPr>
        <w:t>本项目扩建在康普药业股份有限公司原有厂区内，</w:t>
      </w:r>
      <w:proofErr w:type="gramStart"/>
      <w:r>
        <w:rPr>
          <w:rFonts w:ascii="仿宋_GB2312" w:eastAsia="仿宋_GB2312" w:hint="eastAsia"/>
          <w:sz w:val="32"/>
          <w:szCs w:val="32"/>
        </w:rPr>
        <w:t>不</w:t>
      </w:r>
      <w:proofErr w:type="gramEnd"/>
      <w:r>
        <w:rPr>
          <w:rFonts w:ascii="仿宋_GB2312" w:eastAsia="仿宋_GB2312" w:hint="eastAsia"/>
          <w:sz w:val="32"/>
          <w:szCs w:val="32"/>
        </w:rPr>
        <w:t>新增</w:t>
      </w:r>
      <w:r>
        <w:rPr>
          <w:rFonts w:ascii="仿宋_GB2312" w:eastAsia="仿宋_GB2312" w:hint="eastAsia"/>
          <w:sz w:val="32"/>
          <w:szCs w:val="32"/>
        </w:rPr>
        <w:lastRenderedPageBreak/>
        <w:t>占地，在原料药车间（一）新增</w:t>
      </w:r>
      <w:r>
        <w:rPr>
          <w:rFonts w:ascii="仿宋_GB2312" w:eastAsia="仿宋_GB2312"/>
          <w:sz w:val="32"/>
          <w:szCs w:val="32"/>
        </w:rPr>
        <w:t>两种产品</w:t>
      </w:r>
      <w:r>
        <w:rPr>
          <w:rFonts w:ascii="仿宋_GB2312" w:eastAsia="仿宋_GB2312" w:hint="eastAsia"/>
          <w:sz w:val="32"/>
          <w:szCs w:val="32"/>
        </w:rPr>
        <w:t>（</w:t>
      </w:r>
      <w:r>
        <w:rPr>
          <w:rFonts w:ascii="仿宋_GB2312" w:eastAsia="仿宋_GB2312"/>
          <w:sz w:val="32"/>
          <w:szCs w:val="32"/>
        </w:rPr>
        <w:t>盐酸兰地洛尔</w:t>
      </w:r>
      <w:r>
        <w:rPr>
          <w:rFonts w:ascii="仿宋_GB2312" w:eastAsia="仿宋_GB2312" w:hint="eastAsia"/>
          <w:sz w:val="32"/>
          <w:szCs w:val="32"/>
        </w:rPr>
        <w:t>、盐酸</w:t>
      </w:r>
      <w:r>
        <w:rPr>
          <w:rFonts w:ascii="仿宋_GB2312" w:eastAsia="仿宋_GB2312"/>
          <w:sz w:val="32"/>
          <w:szCs w:val="32"/>
        </w:rPr>
        <w:t>异丙嗪</w:t>
      </w:r>
      <w:r>
        <w:rPr>
          <w:rFonts w:ascii="仿宋_GB2312" w:eastAsia="仿宋_GB2312" w:hint="eastAsia"/>
          <w:sz w:val="32"/>
          <w:szCs w:val="32"/>
        </w:rPr>
        <w:t>）的生产，在</w:t>
      </w:r>
      <w:r>
        <w:rPr>
          <w:rFonts w:ascii="仿宋_GB2312" w:eastAsia="仿宋_GB2312"/>
          <w:sz w:val="32"/>
          <w:szCs w:val="32"/>
        </w:rPr>
        <w:t>原料药</w:t>
      </w:r>
      <w:r>
        <w:rPr>
          <w:rFonts w:ascii="仿宋_GB2312" w:eastAsia="仿宋_GB2312" w:hAnsi="仿宋" w:cs="仿宋" w:hint="eastAsia"/>
          <w:sz w:val="32"/>
          <w:szCs w:val="32"/>
        </w:rPr>
        <w:t>车间（二）新增</w:t>
      </w:r>
      <w:r>
        <w:rPr>
          <w:rFonts w:ascii="仿宋_GB2312" w:eastAsia="仿宋_GB2312" w:hAnsi="仿宋" w:cs="仿宋"/>
          <w:sz w:val="32"/>
          <w:szCs w:val="32"/>
        </w:rPr>
        <w:t>两种产品（辅酶Q10、非诺洛芬钙）</w:t>
      </w:r>
      <w:r>
        <w:rPr>
          <w:rFonts w:ascii="仿宋_GB2312" w:eastAsia="仿宋_GB2312" w:hAnsi="仿宋" w:cs="仿宋" w:hint="eastAsia"/>
          <w:sz w:val="32"/>
          <w:szCs w:val="32"/>
        </w:rPr>
        <w:t>的生产线，</w:t>
      </w:r>
      <w:r>
        <w:rPr>
          <w:rFonts w:ascii="仿宋_GB2312" w:eastAsia="仿宋_GB2312" w:hint="eastAsia"/>
          <w:sz w:val="32"/>
          <w:szCs w:val="32"/>
        </w:rPr>
        <w:t>其他生活设施、办公设施依托现有工程。</w:t>
      </w:r>
      <w:r>
        <w:rPr>
          <w:rFonts w:ascii="仿宋_GB2312" w:eastAsia="仿宋_GB2312" w:hAnsi="仿宋" w:cs="仿宋" w:hint="eastAsia"/>
          <w:sz w:val="32"/>
          <w:szCs w:val="32"/>
        </w:rPr>
        <w:t>项目总投资</w:t>
      </w:r>
      <w:r>
        <w:rPr>
          <w:rFonts w:ascii="仿宋_GB2312" w:eastAsia="仿宋_GB2312" w:hAnsi="仿宋" w:cs="仿宋"/>
          <w:sz w:val="32"/>
          <w:szCs w:val="32"/>
        </w:rPr>
        <w:t>10</w:t>
      </w:r>
      <w:r>
        <w:rPr>
          <w:rFonts w:ascii="仿宋_GB2312" w:eastAsia="仿宋_GB2312" w:hAnsi="仿宋" w:cs="仿宋" w:hint="eastAsia"/>
          <w:sz w:val="32"/>
          <w:szCs w:val="32"/>
        </w:rPr>
        <w:t>00万元</w:t>
      </w:r>
      <w:r>
        <w:rPr>
          <w:rFonts w:ascii="仿宋_GB2312" w:eastAsia="仿宋_GB2312" w:hAnsi="仿宋" w:cs="仿宋"/>
          <w:sz w:val="32"/>
          <w:szCs w:val="32"/>
        </w:rPr>
        <w:t>，其中环保投资20万元</w:t>
      </w:r>
      <w:r>
        <w:rPr>
          <w:rFonts w:ascii="仿宋_GB2312" w:eastAsia="仿宋_GB2312" w:hAnsi="仿宋" w:cs="仿宋" w:hint="eastAsia"/>
          <w:sz w:val="32"/>
          <w:szCs w:val="32"/>
        </w:rPr>
        <w:t>。</w:t>
      </w:r>
      <w:bookmarkStart w:id="0" w:name="OLE_LINK3"/>
      <w:r>
        <w:rPr>
          <w:rFonts w:ascii="仿宋_GB2312" w:eastAsia="仿宋_GB2312" w:hAnsi="仿宋" w:cs="仿宋"/>
          <w:sz w:val="32"/>
          <w:szCs w:val="32"/>
        </w:rPr>
        <w:t>项目产品方案为辅酶Q10</w:t>
      </w:r>
      <w:r>
        <w:rPr>
          <w:rFonts w:ascii="仿宋_GB2312" w:eastAsia="仿宋_GB2312" w:hAnsi="仿宋" w:cs="仿宋" w:hint="eastAsia"/>
          <w:sz w:val="32"/>
          <w:szCs w:val="32"/>
        </w:rPr>
        <w:t>的生产规模为</w:t>
      </w:r>
      <w:r>
        <w:rPr>
          <w:rFonts w:ascii="仿宋_GB2312" w:eastAsia="仿宋_GB2312" w:hAnsi="仿宋" w:cs="仿宋"/>
          <w:sz w:val="32"/>
          <w:szCs w:val="32"/>
        </w:rPr>
        <w:t>500</w:t>
      </w:r>
      <w:r>
        <w:rPr>
          <w:rFonts w:ascii="仿宋_GB2312" w:eastAsia="仿宋_GB2312" w:hint="eastAsia"/>
          <w:sz w:val="32"/>
          <w:szCs w:val="32"/>
        </w:rPr>
        <w:t>kg/a</w:t>
      </w:r>
      <w:bookmarkEnd w:id="0"/>
      <w:r>
        <w:rPr>
          <w:rFonts w:ascii="仿宋_GB2312" w:eastAsia="仿宋_GB2312" w:hint="eastAsia"/>
          <w:sz w:val="32"/>
          <w:szCs w:val="32"/>
        </w:rPr>
        <w:t>，</w:t>
      </w:r>
      <w:bookmarkStart w:id="1" w:name="OLE_LINK5"/>
      <w:r>
        <w:rPr>
          <w:rFonts w:ascii="仿宋_GB2312" w:eastAsia="仿宋_GB2312" w:hAnsi="仿宋" w:cs="仿宋"/>
          <w:sz w:val="32"/>
          <w:szCs w:val="32"/>
        </w:rPr>
        <w:t>非诺洛芬钙</w:t>
      </w:r>
      <w:r>
        <w:rPr>
          <w:rFonts w:ascii="仿宋_GB2312" w:eastAsia="仿宋_GB2312" w:hAnsi="仿宋" w:cs="仿宋" w:hint="eastAsia"/>
          <w:sz w:val="32"/>
          <w:szCs w:val="32"/>
        </w:rPr>
        <w:t>的生产规模为</w:t>
      </w:r>
      <w:r>
        <w:rPr>
          <w:rFonts w:ascii="仿宋_GB2312" w:eastAsia="仿宋_GB2312" w:hAnsi="仿宋" w:cs="仿宋"/>
          <w:sz w:val="32"/>
          <w:szCs w:val="32"/>
        </w:rPr>
        <w:t>11751</w:t>
      </w:r>
      <w:r>
        <w:rPr>
          <w:rFonts w:ascii="仿宋_GB2312" w:eastAsia="仿宋_GB2312" w:hint="eastAsia"/>
          <w:sz w:val="32"/>
          <w:szCs w:val="32"/>
        </w:rPr>
        <w:t>kg/a</w:t>
      </w:r>
      <w:bookmarkStart w:id="2" w:name="OLE_LINK6"/>
      <w:bookmarkEnd w:id="1"/>
      <w:r>
        <w:rPr>
          <w:rFonts w:ascii="仿宋_GB2312" w:eastAsia="仿宋_GB2312"/>
          <w:sz w:val="32"/>
          <w:szCs w:val="32"/>
        </w:rPr>
        <w:t>，盐酸兰地洛尔</w:t>
      </w:r>
      <w:r>
        <w:rPr>
          <w:rFonts w:ascii="仿宋_GB2312" w:eastAsia="仿宋_GB2312" w:hAnsi="仿宋" w:cs="仿宋" w:hint="eastAsia"/>
          <w:sz w:val="32"/>
          <w:szCs w:val="32"/>
        </w:rPr>
        <w:t>的生产规模为</w:t>
      </w:r>
      <w:r>
        <w:rPr>
          <w:rFonts w:ascii="仿宋_GB2312" w:eastAsia="仿宋_GB2312" w:hAnsi="仿宋" w:cs="仿宋"/>
          <w:sz w:val="32"/>
          <w:szCs w:val="32"/>
        </w:rPr>
        <w:t>20</w:t>
      </w:r>
      <w:r>
        <w:rPr>
          <w:rFonts w:ascii="仿宋_GB2312" w:eastAsia="仿宋_GB2312" w:hint="eastAsia"/>
          <w:sz w:val="32"/>
          <w:szCs w:val="32"/>
        </w:rPr>
        <w:t>kg/a</w:t>
      </w:r>
      <w:bookmarkEnd w:id="2"/>
      <w:r>
        <w:rPr>
          <w:rFonts w:ascii="仿宋_GB2312" w:eastAsia="仿宋_GB2312"/>
          <w:sz w:val="32"/>
          <w:szCs w:val="32"/>
        </w:rPr>
        <w:t>，</w:t>
      </w:r>
      <w:r>
        <w:rPr>
          <w:rFonts w:ascii="仿宋_GB2312" w:eastAsia="仿宋_GB2312" w:hint="eastAsia"/>
          <w:sz w:val="32"/>
          <w:szCs w:val="32"/>
        </w:rPr>
        <w:t>盐酸</w:t>
      </w:r>
      <w:r>
        <w:rPr>
          <w:rFonts w:ascii="仿宋_GB2312" w:eastAsia="仿宋_GB2312"/>
          <w:sz w:val="32"/>
          <w:szCs w:val="32"/>
        </w:rPr>
        <w:t>异丙嗪</w:t>
      </w:r>
      <w:r>
        <w:rPr>
          <w:rFonts w:ascii="仿宋_GB2312" w:eastAsia="仿宋_GB2312" w:hAnsi="仿宋" w:cs="仿宋" w:hint="eastAsia"/>
          <w:sz w:val="32"/>
          <w:szCs w:val="32"/>
        </w:rPr>
        <w:t>的生产规模为</w:t>
      </w:r>
      <w:r>
        <w:rPr>
          <w:rFonts w:ascii="仿宋_GB2312" w:eastAsia="仿宋_GB2312" w:hAnsi="仿宋" w:cs="仿宋"/>
          <w:sz w:val="32"/>
          <w:szCs w:val="32"/>
        </w:rPr>
        <w:t>75.4</w:t>
      </w:r>
      <w:r>
        <w:rPr>
          <w:rFonts w:ascii="仿宋_GB2312" w:eastAsia="仿宋_GB2312" w:hint="eastAsia"/>
          <w:sz w:val="32"/>
          <w:szCs w:val="32"/>
        </w:rPr>
        <w:t>kg/a</w:t>
      </w:r>
      <w:r>
        <w:rPr>
          <w:rFonts w:ascii="仿宋_GB2312" w:eastAsia="仿宋_GB2312"/>
          <w:sz w:val="32"/>
          <w:szCs w:val="32"/>
        </w:rPr>
        <w:t>，其中盐酸兰地洛尔和</w:t>
      </w:r>
      <w:r>
        <w:rPr>
          <w:rFonts w:ascii="仿宋_GB2312" w:eastAsia="仿宋_GB2312" w:hint="eastAsia"/>
          <w:sz w:val="32"/>
          <w:szCs w:val="32"/>
        </w:rPr>
        <w:t>盐酸</w:t>
      </w:r>
      <w:r>
        <w:rPr>
          <w:rFonts w:ascii="仿宋_GB2312" w:eastAsia="仿宋_GB2312"/>
          <w:sz w:val="32"/>
          <w:szCs w:val="32"/>
        </w:rPr>
        <w:t>异丙嗪两</w:t>
      </w:r>
      <w:r>
        <w:rPr>
          <w:rFonts w:ascii="仿宋_GB2312" w:eastAsia="仿宋_GB2312" w:hint="eastAsia"/>
          <w:sz w:val="32"/>
          <w:szCs w:val="32"/>
        </w:rPr>
        <w:t>种产品</w:t>
      </w:r>
      <w:r>
        <w:rPr>
          <w:rFonts w:ascii="仿宋_GB2312" w:eastAsia="仿宋_GB2312"/>
          <w:sz w:val="32"/>
          <w:szCs w:val="32"/>
        </w:rPr>
        <w:t>，</w:t>
      </w:r>
      <w:r>
        <w:rPr>
          <w:rFonts w:ascii="仿宋_GB2312" w:eastAsia="仿宋_GB2312" w:hint="eastAsia"/>
          <w:sz w:val="32"/>
          <w:szCs w:val="32"/>
        </w:rPr>
        <w:t>与盐酸</w:t>
      </w:r>
      <w:proofErr w:type="gramStart"/>
      <w:r>
        <w:rPr>
          <w:rFonts w:ascii="仿宋_GB2312" w:eastAsia="仿宋_GB2312" w:hint="eastAsia"/>
          <w:sz w:val="32"/>
          <w:szCs w:val="32"/>
        </w:rPr>
        <w:t>右美托咪</w:t>
      </w:r>
      <w:proofErr w:type="gramEnd"/>
      <w:r>
        <w:rPr>
          <w:rFonts w:ascii="仿宋_GB2312" w:eastAsia="仿宋_GB2312" w:hint="eastAsia"/>
          <w:sz w:val="32"/>
          <w:szCs w:val="32"/>
        </w:rPr>
        <w:t>定</w:t>
      </w:r>
      <w:r>
        <w:rPr>
          <w:rFonts w:ascii="仿宋_GB2312" w:eastAsia="仿宋_GB2312"/>
          <w:sz w:val="32"/>
          <w:szCs w:val="32"/>
        </w:rPr>
        <w:t>、盐酸乙</w:t>
      </w:r>
      <w:proofErr w:type="gramStart"/>
      <w:r>
        <w:rPr>
          <w:rFonts w:ascii="仿宋_GB2312" w:eastAsia="仿宋_GB2312"/>
          <w:sz w:val="32"/>
          <w:szCs w:val="32"/>
        </w:rPr>
        <w:t>哌</w:t>
      </w:r>
      <w:proofErr w:type="gramEnd"/>
      <w:r>
        <w:rPr>
          <w:rFonts w:ascii="仿宋_GB2312" w:eastAsia="仿宋_GB2312"/>
          <w:sz w:val="32"/>
          <w:szCs w:val="32"/>
        </w:rPr>
        <w:t>立松、甲苯磺酸艾多沙班、</w:t>
      </w:r>
      <w:proofErr w:type="gramStart"/>
      <w:r>
        <w:rPr>
          <w:rFonts w:ascii="仿宋_GB2312" w:eastAsia="仿宋_GB2312"/>
          <w:sz w:val="32"/>
          <w:szCs w:val="32"/>
        </w:rPr>
        <w:t>瑞加诺生</w:t>
      </w:r>
      <w:proofErr w:type="gramEnd"/>
      <w:r>
        <w:rPr>
          <w:rFonts w:ascii="仿宋_GB2312" w:eastAsia="仿宋_GB2312" w:hint="eastAsia"/>
          <w:sz w:val="32"/>
          <w:szCs w:val="32"/>
        </w:rPr>
        <w:t>共线，每种产品不同时生产。</w:t>
      </w:r>
    </w:p>
    <w:p w14:paraId="4466E59E" w14:textId="77777777" w:rsidR="00E4310D" w:rsidRDefault="00000000">
      <w:pPr>
        <w:numPr>
          <w:ilvl w:val="0"/>
          <w:numId w:val="1"/>
        </w:numPr>
        <w:spacing w:line="560" w:lineRule="exact"/>
        <w:ind w:firstLineChars="200" w:firstLine="640"/>
        <w:rPr>
          <w:rFonts w:ascii="仿宋_GB2312" w:eastAsia="仿宋_GB2312"/>
          <w:sz w:val="32"/>
          <w:szCs w:val="32"/>
        </w:rPr>
      </w:pPr>
      <w:r>
        <w:rPr>
          <w:rFonts w:ascii="仿宋_GB2312" w:eastAsia="仿宋_GB2312" w:hint="eastAsia"/>
          <w:sz w:val="32"/>
          <w:szCs w:val="32"/>
        </w:rPr>
        <w:t>项目符合</w:t>
      </w:r>
      <w:r>
        <w:rPr>
          <w:rFonts w:ascii="仿宋_GB2312" w:eastAsia="仿宋_GB2312"/>
          <w:sz w:val="32"/>
          <w:szCs w:val="32"/>
        </w:rPr>
        <w:t>湖南</w:t>
      </w:r>
      <w:r>
        <w:rPr>
          <w:rFonts w:ascii="仿宋_GB2312" w:eastAsia="仿宋_GB2312" w:hint="eastAsia"/>
          <w:sz w:val="32"/>
          <w:szCs w:val="32"/>
        </w:rPr>
        <w:t>汉寿高新</w:t>
      </w:r>
      <w:r>
        <w:rPr>
          <w:rFonts w:ascii="仿宋_GB2312" w:eastAsia="仿宋_GB2312"/>
          <w:sz w:val="32"/>
          <w:szCs w:val="32"/>
        </w:rPr>
        <w:t>技术产业园区生态环境准入清单要求</w:t>
      </w:r>
      <w:r>
        <w:rPr>
          <w:rFonts w:ascii="仿宋_GB2312" w:eastAsia="仿宋_GB2312" w:hint="eastAsia"/>
          <w:sz w:val="32"/>
          <w:szCs w:val="32"/>
        </w:rPr>
        <w:t>，在建设单位切实落实《报告书》</w:t>
      </w:r>
      <w:r>
        <w:rPr>
          <w:rFonts w:ascii="仿宋_GB2312" w:eastAsia="仿宋_GB2312" w:hAnsi="仿宋" w:cs="仿宋" w:hint="eastAsia"/>
          <w:sz w:val="32"/>
          <w:szCs w:val="32"/>
        </w:rPr>
        <w:t>提出的各项污染防治措施、环境风险防范措施、</w:t>
      </w:r>
      <w:r>
        <w:rPr>
          <w:rFonts w:ascii="仿宋_GB2312" w:eastAsia="仿宋_GB2312" w:hAnsi="仿宋" w:cs="仿宋"/>
          <w:sz w:val="32"/>
          <w:szCs w:val="32"/>
        </w:rPr>
        <w:t>污染物总量控制要求</w:t>
      </w:r>
      <w:r>
        <w:rPr>
          <w:rFonts w:ascii="仿宋_GB2312" w:eastAsia="仿宋_GB2312" w:hAnsi="仿宋" w:cs="仿宋" w:hint="eastAsia"/>
          <w:sz w:val="32"/>
          <w:szCs w:val="32"/>
        </w:rPr>
        <w:t>和园区工业污水处理厂处理能力满足的前提下，从环境保护角度分析，</w:t>
      </w:r>
      <w:r>
        <w:rPr>
          <w:rFonts w:ascii="仿宋_GB2312" w:eastAsia="仿宋_GB2312" w:hint="eastAsia"/>
          <w:sz w:val="32"/>
          <w:szCs w:val="32"/>
        </w:rPr>
        <w:t>项目建设可行。</w:t>
      </w:r>
    </w:p>
    <w:p w14:paraId="3A83C43A" w14:textId="77777777" w:rsidR="00E4310D" w:rsidRDefault="00000000">
      <w:pPr>
        <w:spacing w:line="560" w:lineRule="exact"/>
        <w:ind w:firstLineChars="200" w:firstLine="640"/>
        <w:rPr>
          <w:rFonts w:ascii="仿宋_GB2312" w:eastAsia="仿宋_GB2312"/>
          <w:sz w:val="32"/>
          <w:szCs w:val="32"/>
        </w:rPr>
      </w:pPr>
      <w:r>
        <w:rPr>
          <w:rFonts w:ascii="仿宋_GB2312" w:eastAsia="仿宋_GB2312"/>
          <w:sz w:val="32"/>
          <w:szCs w:val="32"/>
        </w:rPr>
        <w:t>三</w:t>
      </w:r>
      <w:r>
        <w:rPr>
          <w:rFonts w:ascii="仿宋_GB2312" w:eastAsia="仿宋_GB2312" w:hint="eastAsia"/>
          <w:sz w:val="32"/>
          <w:szCs w:val="32"/>
        </w:rPr>
        <w:t>、项目在设计、建设和营运过程中必须严格执行“三同时”制度，重点做好以下环保工作：</w:t>
      </w:r>
    </w:p>
    <w:p w14:paraId="6C0BB923" w14:textId="77777777" w:rsidR="00E4310D" w:rsidRDefault="00000000">
      <w:pPr>
        <w:spacing w:line="560" w:lineRule="exact"/>
        <w:ind w:firstLineChars="200" w:firstLine="640"/>
        <w:rPr>
          <w:rFonts w:ascii="仿宋_GB2312" w:eastAsia="仿宋_GB2312" w:hAnsi="仿宋" w:cs="仿宋" w:hint="eastAsia"/>
          <w:sz w:val="32"/>
          <w:szCs w:val="32"/>
        </w:rPr>
      </w:pPr>
      <w:r>
        <w:rPr>
          <w:rFonts w:ascii="仿宋_GB2312" w:eastAsia="仿宋_GB2312" w:hint="eastAsia"/>
          <w:sz w:val="32"/>
          <w:szCs w:val="32"/>
        </w:rPr>
        <w:t>(</w:t>
      </w:r>
      <w:proofErr w:type="gramStart"/>
      <w:r>
        <w:rPr>
          <w:rFonts w:ascii="仿宋_GB2312" w:eastAsia="仿宋_GB2312" w:hint="eastAsia"/>
          <w:sz w:val="32"/>
          <w:szCs w:val="32"/>
        </w:rPr>
        <w:t>一</w:t>
      </w:r>
      <w:proofErr w:type="gramEnd"/>
      <w:r>
        <w:rPr>
          <w:rFonts w:ascii="仿宋_GB2312" w:eastAsia="仿宋_GB2312" w:hint="eastAsia"/>
          <w:sz w:val="32"/>
          <w:szCs w:val="32"/>
        </w:rPr>
        <w:t>)</w:t>
      </w:r>
      <w:r>
        <w:rPr>
          <w:rFonts w:ascii="仿宋_GB2312" w:eastAsia="仿宋_GB2312"/>
          <w:sz w:val="32"/>
          <w:szCs w:val="32"/>
        </w:rPr>
        <w:t>严格落实废水污染防治措施</w:t>
      </w:r>
      <w:r>
        <w:rPr>
          <w:rFonts w:ascii="仿宋_GB2312" w:eastAsia="仿宋_GB2312" w:hint="eastAsia"/>
          <w:sz w:val="32"/>
          <w:szCs w:val="32"/>
        </w:rPr>
        <w:t>。进一步</w:t>
      </w:r>
      <w:r>
        <w:rPr>
          <w:rFonts w:ascii="仿宋_GB2312" w:eastAsia="仿宋_GB2312" w:hAnsi="仿宋" w:cs="仿宋" w:hint="eastAsia"/>
          <w:sz w:val="32"/>
          <w:szCs w:val="32"/>
        </w:rPr>
        <w:t>做好雨污分流、清污分流、污</w:t>
      </w:r>
      <w:proofErr w:type="gramStart"/>
      <w:r>
        <w:rPr>
          <w:rFonts w:ascii="仿宋_GB2312" w:eastAsia="仿宋_GB2312" w:hAnsi="仿宋" w:cs="仿宋" w:hint="eastAsia"/>
          <w:sz w:val="32"/>
          <w:szCs w:val="32"/>
        </w:rPr>
        <w:t>污</w:t>
      </w:r>
      <w:proofErr w:type="gramEnd"/>
      <w:r>
        <w:rPr>
          <w:rFonts w:ascii="仿宋_GB2312" w:eastAsia="仿宋_GB2312" w:hAnsi="仿宋" w:cs="仿宋" w:hint="eastAsia"/>
          <w:sz w:val="32"/>
          <w:szCs w:val="32"/>
        </w:rPr>
        <w:t>分流和废水分类收集、分质处理工作</w:t>
      </w:r>
      <w:r>
        <w:rPr>
          <w:rFonts w:ascii="仿宋_GB2312" w:eastAsia="仿宋_GB2312" w:hAnsi="仿宋" w:cs="仿宋"/>
          <w:sz w:val="32"/>
          <w:szCs w:val="32"/>
        </w:rPr>
        <w:t>。项目</w:t>
      </w:r>
      <w:r>
        <w:rPr>
          <w:rFonts w:ascii="仿宋_GB2312" w:eastAsia="仿宋_GB2312" w:hAnsi="仿宋" w:cs="仿宋" w:hint="eastAsia"/>
          <w:sz w:val="32"/>
          <w:szCs w:val="32"/>
        </w:rPr>
        <w:t>设备清洗废水、</w:t>
      </w:r>
      <w:r>
        <w:rPr>
          <w:rFonts w:ascii="仿宋_GB2312" w:eastAsia="仿宋_GB2312" w:hint="eastAsia"/>
          <w:sz w:val="32"/>
          <w:szCs w:val="32"/>
        </w:rPr>
        <w:t>水循环真空泵</w:t>
      </w:r>
      <w:r>
        <w:rPr>
          <w:rFonts w:ascii="仿宋_GB2312" w:eastAsia="仿宋_GB2312" w:hAnsi="仿宋" w:cs="仿宋" w:hint="eastAsia"/>
          <w:sz w:val="32"/>
          <w:szCs w:val="32"/>
        </w:rPr>
        <w:t>废水、废气处理系统废水</w:t>
      </w:r>
      <w:r>
        <w:rPr>
          <w:rFonts w:ascii="Times New Roman" w:eastAsia="仿宋_GB2312" w:hAnsi="Times New Roman" w:hint="eastAsia"/>
          <w:bCs/>
          <w:sz w:val="32"/>
        </w:rPr>
        <w:t>依托厂区现有</w:t>
      </w:r>
      <w:r>
        <w:rPr>
          <w:rFonts w:ascii="Times New Roman" w:eastAsia="仿宋_GB2312" w:hAnsi="Times New Roman" w:hint="eastAsia"/>
          <w:bCs/>
          <w:sz w:val="32"/>
        </w:rPr>
        <w:t>120t/d</w:t>
      </w:r>
      <w:r>
        <w:rPr>
          <w:rFonts w:ascii="Times New Roman" w:eastAsia="仿宋_GB2312" w:hAnsi="Times New Roman" w:hint="eastAsia"/>
          <w:bCs/>
          <w:sz w:val="32"/>
        </w:rPr>
        <w:t>污水处理站</w:t>
      </w:r>
      <w:proofErr w:type="gramStart"/>
      <w:r>
        <w:rPr>
          <w:rFonts w:ascii="Times New Roman" w:eastAsia="仿宋_GB2312" w:hAnsi="Times New Roman" w:hint="eastAsia"/>
          <w:bCs/>
          <w:sz w:val="32"/>
        </w:rPr>
        <w:t>进行处理</w:t>
      </w:r>
      <w:r>
        <w:rPr>
          <w:rFonts w:ascii="Times New Roman" w:eastAsia="仿宋_GB2312" w:hAnsi="Times New Roman"/>
          <w:bCs/>
          <w:sz w:val="32"/>
        </w:rPr>
        <w:t>进行处理</w:t>
      </w:r>
      <w:proofErr w:type="gramEnd"/>
      <w:r>
        <w:rPr>
          <w:rFonts w:ascii="Times New Roman" w:eastAsia="仿宋_GB2312" w:hAnsi="Times New Roman"/>
          <w:bCs/>
          <w:sz w:val="32"/>
        </w:rPr>
        <w:t>后，排入汉寿县汉林污水处理厂处理。</w:t>
      </w:r>
      <w:r>
        <w:rPr>
          <w:rFonts w:ascii="Times New Roman" w:eastAsia="仿宋_GB2312" w:hAnsi="Times New Roman" w:hint="eastAsia"/>
          <w:sz w:val="32"/>
        </w:rPr>
        <w:t>按照康普药业股份有限公司和</w:t>
      </w:r>
      <w:r>
        <w:rPr>
          <w:rFonts w:ascii="Times New Roman" w:eastAsia="仿宋_GB2312" w:hAnsi="Times New Roman"/>
          <w:sz w:val="32"/>
        </w:rPr>
        <w:t>汉寿县汉林污水处理有限责任公司</w:t>
      </w:r>
      <w:r>
        <w:rPr>
          <w:rFonts w:ascii="Times New Roman" w:eastAsia="仿宋_GB2312" w:hAnsi="Times New Roman" w:hint="eastAsia"/>
          <w:sz w:val="32"/>
        </w:rPr>
        <w:t>协商的标准</w:t>
      </w:r>
      <w:r>
        <w:rPr>
          <w:rFonts w:ascii="Times New Roman" w:eastAsia="仿宋_GB2312" w:hAnsi="Times New Roman" w:hint="eastAsia"/>
          <w:sz w:val="32"/>
        </w:rPr>
        <w:t>,</w:t>
      </w:r>
      <w:r>
        <w:rPr>
          <w:rFonts w:ascii="Times New Roman" w:eastAsia="仿宋_GB2312" w:hAnsi="Times New Roman"/>
          <w:sz w:val="32"/>
        </w:rPr>
        <w:t>排入汉寿县汉林污水处理厂的废水在满足协议进水水质标准的基础上，其他水污染物（急性</w:t>
      </w:r>
      <w:r>
        <w:rPr>
          <w:rFonts w:ascii="Times New Roman" w:eastAsia="仿宋_GB2312" w:hAnsi="Times New Roman"/>
          <w:sz w:val="32"/>
        </w:rPr>
        <w:lastRenderedPageBreak/>
        <w:t>毒性、总有机碳等）需满足</w:t>
      </w:r>
      <w:r>
        <w:rPr>
          <w:rFonts w:ascii="Times New Roman" w:eastAsia="仿宋_GB2312" w:hAnsi="Times New Roman" w:hint="eastAsia"/>
          <w:sz w:val="32"/>
        </w:rPr>
        <w:t>《化学合成类制药工业水污染物排放标准》（</w:t>
      </w:r>
      <w:r>
        <w:rPr>
          <w:rFonts w:ascii="Times New Roman" w:eastAsia="仿宋_GB2312" w:hAnsi="Times New Roman" w:hint="eastAsia"/>
          <w:sz w:val="32"/>
        </w:rPr>
        <w:t>GB21904-2008</w:t>
      </w:r>
      <w:r>
        <w:rPr>
          <w:rFonts w:ascii="Times New Roman" w:eastAsia="仿宋_GB2312" w:hAnsi="Times New Roman" w:hint="eastAsia"/>
          <w:sz w:val="32"/>
        </w:rPr>
        <w:t>）表</w:t>
      </w:r>
      <w:r>
        <w:rPr>
          <w:rFonts w:ascii="Times New Roman" w:eastAsia="仿宋_GB2312" w:hAnsi="Times New Roman" w:hint="eastAsia"/>
          <w:sz w:val="32"/>
        </w:rPr>
        <w:t>2</w:t>
      </w:r>
      <w:r>
        <w:rPr>
          <w:rFonts w:ascii="Times New Roman" w:eastAsia="仿宋_GB2312" w:hAnsi="Times New Roman" w:hint="eastAsia"/>
          <w:sz w:val="32"/>
        </w:rPr>
        <w:t>水污染物排放浓度限值。</w:t>
      </w:r>
    </w:p>
    <w:p w14:paraId="18CA6C47" w14:textId="77777777" w:rsidR="00E4310D" w:rsidRDefault="00000000">
      <w:pPr>
        <w:numPr>
          <w:ilvl w:val="0"/>
          <w:numId w:val="2"/>
        </w:numPr>
        <w:tabs>
          <w:tab w:val="left" w:pos="312"/>
        </w:tabs>
        <w:spacing w:line="560" w:lineRule="exact"/>
        <w:ind w:firstLineChars="200" w:firstLine="640"/>
        <w:outlineLvl w:val="2"/>
        <w:rPr>
          <w:rFonts w:ascii="仿宋_GB2312" w:eastAsia="仿宋_GB2312"/>
          <w:sz w:val="32"/>
          <w:szCs w:val="32"/>
        </w:rPr>
      </w:pPr>
      <w:r>
        <w:rPr>
          <w:rFonts w:ascii="仿宋_GB2312" w:eastAsia="仿宋_GB2312"/>
          <w:sz w:val="32"/>
          <w:szCs w:val="32"/>
        </w:rPr>
        <w:t>严格落实大气污染防治措施</w:t>
      </w:r>
      <w:r>
        <w:rPr>
          <w:rFonts w:ascii="仿宋_GB2312" w:eastAsia="仿宋_GB2312" w:hint="eastAsia"/>
          <w:sz w:val="32"/>
          <w:szCs w:val="32"/>
        </w:rPr>
        <w:t>。</w:t>
      </w:r>
    </w:p>
    <w:p w14:paraId="28A89D50" w14:textId="77777777" w:rsidR="00E4310D" w:rsidRDefault="00000000">
      <w:pPr>
        <w:tabs>
          <w:tab w:val="left" w:pos="312"/>
        </w:tabs>
        <w:spacing w:line="560" w:lineRule="exact"/>
        <w:ind w:firstLineChars="200" w:firstLine="640"/>
        <w:outlineLvl w:val="2"/>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1.</w:t>
      </w:r>
      <w:r>
        <w:rPr>
          <w:rFonts w:ascii="仿宋_GB2312" w:eastAsia="仿宋_GB2312" w:hAnsi="仿宋" w:cs="仿宋" w:hint="eastAsia"/>
          <w:sz w:val="32"/>
          <w:szCs w:val="32"/>
        </w:rPr>
        <w:t>加强车间无组织废气的治理</w:t>
      </w:r>
      <w:r>
        <w:rPr>
          <w:rFonts w:ascii="仿宋_GB2312" w:eastAsia="仿宋_GB2312" w:hAnsi="仿宋" w:cs="仿宋"/>
          <w:sz w:val="32"/>
          <w:szCs w:val="32"/>
        </w:rPr>
        <w:t>，</w:t>
      </w:r>
      <w:r>
        <w:rPr>
          <w:rFonts w:ascii="仿宋_GB2312" w:eastAsia="仿宋_GB2312" w:hAnsi="仿宋_GB2312" w:cs="仿宋_GB2312" w:hint="eastAsia"/>
          <w:sz w:val="32"/>
          <w:szCs w:val="32"/>
        </w:rPr>
        <w:t>落实《制药工业大气污染物排放标准》（GB37823-2019）</w:t>
      </w:r>
      <w:r>
        <w:rPr>
          <w:rFonts w:ascii="仿宋_GB2312" w:eastAsia="仿宋_GB2312" w:hAnsi="仿宋_GB2312" w:cs="仿宋_GB2312"/>
          <w:sz w:val="32"/>
          <w:szCs w:val="32"/>
        </w:rPr>
        <w:t>、</w:t>
      </w:r>
      <w:r>
        <w:rPr>
          <w:rFonts w:ascii="仿宋_GB2312" w:eastAsia="仿宋_GB2312" w:hAnsi="仿宋_GB2312" w:cs="仿宋_GB2312" w:hint="eastAsia"/>
          <w:sz w:val="32"/>
          <w:szCs w:val="32"/>
        </w:rPr>
        <w:t>《</w:t>
      </w:r>
      <w:r>
        <w:rPr>
          <w:rFonts w:ascii="仿宋_GB2312" w:eastAsia="仿宋_GB2312" w:hAnsi="仿宋_GB2312" w:cs="仿宋_GB2312"/>
          <w:sz w:val="32"/>
          <w:szCs w:val="32"/>
        </w:rPr>
        <w:t>挥发性有机物无组织排放控制</w:t>
      </w:r>
      <w:r>
        <w:rPr>
          <w:rFonts w:ascii="仿宋_GB2312" w:eastAsia="仿宋_GB2312" w:hAnsi="仿宋_GB2312" w:cs="仿宋_GB2312" w:hint="eastAsia"/>
          <w:sz w:val="32"/>
          <w:szCs w:val="32"/>
        </w:rPr>
        <w:t>标准》（GB3782</w:t>
      </w:r>
      <w:r>
        <w:rPr>
          <w:rFonts w:ascii="仿宋_GB2312" w:eastAsia="仿宋_GB2312" w:hAnsi="仿宋_GB2312" w:cs="仿宋_GB2312"/>
          <w:sz w:val="32"/>
          <w:szCs w:val="32"/>
        </w:rPr>
        <w:t>2</w:t>
      </w:r>
      <w:r>
        <w:rPr>
          <w:rFonts w:ascii="仿宋_GB2312" w:eastAsia="仿宋_GB2312" w:hAnsi="仿宋_GB2312" w:cs="仿宋_GB2312" w:hint="eastAsia"/>
          <w:sz w:val="32"/>
          <w:szCs w:val="32"/>
        </w:rPr>
        <w:t>-2019）提出的各项无组织废气控制措施，</w:t>
      </w:r>
      <w:r>
        <w:rPr>
          <w:rFonts w:ascii="仿宋_GB2312" w:eastAsia="仿宋_GB2312" w:hAnsi="仿宋" w:cs="仿宋" w:hint="eastAsia"/>
          <w:sz w:val="32"/>
          <w:szCs w:val="32"/>
        </w:rPr>
        <w:t>设计废气收集处理系统应采用先进可行的污染治理技术，强化</w:t>
      </w:r>
      <w:r>
        <w:rPr>
          <w:rFonts w:ascii="仿宋_GB2312" w:eastAsia="仿宋_GB2312" w:hAnsi="Times New Roman"/>
          <w:sz w:val="32"/>
          <w:szCs w:val="32"/>
        </w:rPr>
        <w:t>VOCs</w:t>
      </w:r>
      <w:r>
        <w:rPr>
          <w:rFonts w:ascii="仿宋_GB2312" w:eastAsia="仿宋_GB2312" w:hAnsi="仿宋" w:cs="仿宋" w:hint="eastAsia"/>
          <w:sz w:val="32"/>
          <w:szCs w:val="32"/>
        </w:rPr>
        <w:t>物料或废料（渣、液）等储存排气和生产过程工艺排气</w:t>
      </w:r>
      <w:r>
        <w:rPr>
          <w:rFonts w:ascii="仿宋_GB2312" w:eastAsia="仿宋_GB2312" w:hAnsi="仿宋" w:cs="仿宋"/>
          <w:sz w:val="32"/>
          <w:szCs w:val="32"/>
        </w:rPr>
        <w:t>措施</w:t>
      </w:r>
      <w:r>
        <w:rPr>
          <w:rFonts w:ascii="仿宋_GB2312" w:eastAsia="仿宋_GB2312" w:hAnsi="仿宋" w:cs="仿宋" w:hint="eastAsia"/>
          <w:sz w:val="32"/>
          <w:szCs w:val="32"/>
        </w:rPr>
        <w:t>，通过</w:t>
      </w:r>
      <w:r>
        <w:rPr>
          <w:rFonts w:ascii="仿宋_GB2312" w:eastAsia="仿宋_GB2312" w:cs="仿宋" w:hint="eastAsia"/>
          <w:sz w:val="32"/>
          <w:szCs w:val="32"/>
        </w:rPr>
        <w:t>密闭投料+负压集气收集，</w:t>
      </w:r>
      <w:r>
        <w:rPr>
          <w:rFonts w:ascii="仿宋_GB2312" w:eastAsia="仿宋_GB2312" w:cs="仿宋"/>
          <w:sz w:val="32"/>
          <w:szCs w:val="32"/>
        </w:rPr>
        <w:t>对管道、阀门进行经常性的密封检查并</w:t>
      </w:r>
      <w:proofErr w:type="gramStart"/>
      <w:r>
        <w:rPr>
          <w:rFonts w:ascii="仿宋_GB2312" w:eastAsia="仿宋_GB2312" w:cs="仿宋"/>
          <w:sz w:val="32"/>
          <w:szCs w:val="32"/>
        </w:rPr>
        <w:t>及时维护</w:t>
      </w:r>
      <w:proofErr w:type="gramEnd"/>
      <w:r>
        <w:rPr>
          <w:rFonts w:ascii="仿宋_GB2312" w:eastAsia="仿宋_GB2312" w:cs="仿宋" w:hint="eastAsia"/>
          <w:sz w:val="32"/>
          <w:szCs w:val="32"/>
        </w:rPr>
        <w:t>等措施，</w:t>
      </w:r>
      <w:r>
        <w:rPr>
          <w:rFonts w:ascii="仿宋_GB2312" w:eastAsia="仿宋_GB2312" w:hAnsi="仿宋" w:cs="仿宋" w:hint="eastAsia"/>
          <w:sz w:val="32"/>
          <w:szCs w:val="32"/>
        </w:rPr>
        <w:t>减少无组织废气排放。</w:t>
      </w:r>
    </w:p>
    <w:p w14:paraId="67A7BE68" w14:textId="77777777" w:rsidR="00E4310D" w:rsidRDefault="00000000">
      <w:pPr>
        <w:tabs>
          <w:tab w:val="left" w:pos="312"/>
        </w:tabs>
        <w:spacing w:line="560" w:lineRule="exact"/>
        <w:ind w:firstLineChars="200" w:firstLine="640"/>
        <w:outlineLvl w:val="2"/>
        <w:rPr>
          <w:rFonts w:ascii="Times New Roman" w:eastAsia="仿宋_GB2312" w:hAnsi="Times New Roman"/>
          <w:bCs/>
          <w:sz w:val="32"/>
        </w:rPr>
      </w:pPr>
      <w:r>
        <w:rPr>
          <w:rFonts w:ascii="仿宋_GB2312" w:eastAsia="仿宋_GB2312" w:hAnsi="仿宋" w:cs="仿宋" w:hint="eastAsia"/>
          <w:sz w:val="32"/>
          <w:szCs w:val="32"/>
        </w:rPr>
        <w:t>加强原料药工艺废气、</w:t>
      </w:r>
      <w:proofErr w:type="gramStart"/>
      <w:r>
        <w:rPr>
          <w:rFonts w:ascii="仿宋_GB2312" w:eastAsia="仿宋_GB2312" w:hAnsi="仿宋" w:cs="仿宋" w:hint="eastAsia"/>
          <w:sz w:val="32"/>
          <w:szCs w:val="32"/>
        </w:rPr>
        <w:t>危废暂存</w:t>
      </w:r>
      <w:proofErr w:type="gramEnd"/>
      <w:r>
        <w:rPr>
          <w:rFonts w:ascii="仿宋_GB2312" w:eastAsia="仿宋_GB2312" w:hAnsi="仿宋" w:cs="仿宋" w:hint="eastAsia"/>
          <w:sz w:val="32"/>
          <w:szCs w:val="32"/>
        </w:rPr>
        <w:t>间废气、废水处理站</w:t>
      </w:r>
      <w:r>
        <w:rPr>
          <w:rFonts w:ascii="仿宋_GB2312" w:eastAsia="仿宋_GB2312" w:hAnsi="仿宋" w:cs="仿宋"/>
          <w:sz w:val="32"/>
          <w:szCs w:val="32"/>
        </w:rPr>
        <w:t>臭</w:t>
      </w:r>
      <w:r>
        <w:rPr>
          <w:rFonts w:ascii="仿宋_GB2312" w:eastAsia="仿宋_GB2312" w:hAnsi="仿宋" w:cs="仿宋" w:hint="eastAsia"/>
          <w:sz w:val="32"/>
          <w:szCs w:val="32"/>
        </w:rPr>
        <w:t>气等废气的治理，</w:t>
      </w:r>
      <w:r>
        <w:rPr>
          <w:rFonts w:ascii="仿宋" w:eastAsia="仿宋" w:hAnsi="仿宋" w:cs="仿宋" w:hint="eastAsia"/>
          <w:sz w:val="32"/>
          <w:szCs w:val="32"/>
        </w:rPr>
        <w:t>确保项目投产后大气污染</w:t>
      </w:r>
      <w:proofErr w:type="gramStart"/>
      <w:r>
        <w:rPr>
          <w:rFonts w:ascii="仿宋" w:eastAsia="仿宋" w:hAnsi="仿宋" w:cs="仿宋" w:hint="eastAsia"/>
          <w:sz w:val="32"/>
          <w:szCs w:val="32"/>
        </w:rPr>
        <w:t>物稳定</w:t>
      </w:r>
      <w:proofErr w:type="gramEnd"/>
      <w:r>
        <w:rPr>
          <w:rFonts w:ascii="仿宋" w:eastAsia="仿宋" w:hAnsi="仿宋" w:cs="仿宋" w:hint="eastAsia"/>
          <w:sz w:val="32"/>
          <w:szCs w:val="32"/>
        </w:rPr>
        <w:t>达标排放。</w:t>
      </w:r>
      <w:r>
        <w:rPr>
          <w:rFonts w:ascii="Times New Roman" w:eastAsia="仿宋_GB2312" w:hAnsi="Times New Roman" w:hint="eastAsia"/>
          <w:sz w:val="32"/>
        </w:rPr>
        <w:t>原料药</w:t>
      </w:r>
      <w:r>
        <w:rPr>
          <w:rFonts w:ascii="Times New Roman" w:eastAsia="仿宋_GB2312" w:hAnsi="Times New Roman"/>
          <w:sz w:val="32"/>
        </w:rPr>
        <w:t>车间（一）</w:t>
      </w:r>
      <w:r>
        <w:rPr>
          <w:rFonts w:ascii="Times New Roman" w:eastAsia="仿宋_GB2312" w:hAnsi="Times New Roman" w:hint="eastAsia"/>
          <w:sz w:val="32"/>
        </w:rPr>
        <w:t>工艺废气通过“</w:t>
      </w:r>
      <w:r>
        <w:rPr>
          <w:rFonts w:ascii="Times New Roman" w:eastAsia="仿宋_GB2312" w:hAnsi="Times New Roman"/>
          <w:sz w:val="32"/>
        </w:rPr>
        <w:t>冷凝</w:t>
      </w:r>
      <w:r>
        <w:rPr>
          <w:rFonts w:ascii="Times New Roman" w:eastAsia="仿宋_GB2312" w:hAnsi="Times New Roman"/>
          <w:sz w:val="32"/>
        </w:rPr>
        <w:t>+</w:t>
      </w:r>
      <w:r>
        <w:rPr>
          <w:rFonts w:ascii="Times New Roman" w:eastAsia="仿宋_GB2312" w:hAnsi="Times New Roman" w:hint="eastAsia"/>
          <w:sz w:val="32"/>
        </w:rPr>
        <w:t>喷淋</w:t>
      </w:r>
      <w:r>
        <w:rPr>
          <w:rFonts w:ascii="Times New Roman" w:eastAsia="仿宋_GB2312" w:hAnsi="Times New Roman" w:hint="eastAsia"/>
          <w:sz w:val="32"/>
        </w:rPr>
        <w:t>+</w:t>
      </w:r>
      <w:r>
        <w:rPr>
          <w:rFonts w:ascii="Times New Roman" w:eastAsia="仿宋_GB2312" w:hAnsi="Times New Roman"/>
          <w:sz w:val="32"/>
        </w:rPr>
        <w:t>除雾</w:t>
      </w:r>
      <w:r>
        <w:rPr>
          <w:rFonts w:ascii="Times New Roman" w:eastAsia="仿宋_GB2312" w:hAnsi="Times New Roman"/>
          <w:sz w:val="32"/>
        </w:rPr>
        <w:t>+</w:t>
      </w:r>
      <w:r>
        <w:rPr>
          <w:rFonts w:ascii="Times New Roman" w:eastAsia="仿宋_GB2312" w:hAnsi="Times New Roman" w:hint="eastAsia"/>
          <w:sz w:val="32"/>
        </w:rPr>
        <w:t>两级活性炭”</w:t>
      </w:r>
      <w:r>
        <w:rPr>
          <w:rFonts w:ascii="Times New Roman" w:eastAsia="仿宋_GB2312" w:hAnsi="Times New Roman" w:hint="eastAsia"/>
          <w:bCs/>
          <w:sz w:val="32"/>
        </w:rPr>
        <w:t>处理后通过</w:t>
      </w:r>
      <w:r>
        <w:rPr>
          <w:rFonts w:ascii="Times New Roman" w:eastAsia="仿宋_GB2312" w:hAnsi="Times New Roman" w:hint="eastAsia"/>
          <w:bCs/>
          <w:sz w:val="32"/>
        </w:rPr>
        <w:t>15m</w:t>
      </w:r>
      <w:r>
        <w:rPr>
          <w:rFonts w:ascii="Times New Roman" w:eastAsia="仿宋_GB2312" w:hAnsi="Times New Roman" w:hint="eastAsia"/>
          <w:bCs/>
          <w:sz w:val="32"/>
        </w:rPr>
        <w:t>排气筒排放</w:t>
      </w:r>
      <w:r>
        <w:rPr>
          <w:rFonts w:ascii="Times New Roman" w:eastAsia="仿宋_GB2312" w:hAnsi="Times New Roman"/>
          <w:bCs/>
          <w:sz w:val="32"/>
        </w:rPr>
        <w:t>，</w:t>
      </w:r>
      <w:r>
        <w:rPr>
          <w:rFonts w:ascii="Times New Roman" w:eastAsia="仿宋_GB2312" w:hAnsi="Times New Roman" w:hint="eastAsia"/>
          <w:sz w:val="32"/>
        </w:rPr>
        <w:t>原料药</w:t>
      </w:r>
      <w:r>
        <w:rPr>
          <w:rFonts w:ascii="Times New Roman" w:eastAsia="仿宋_GB2312" w:hAnsi="Times New Roman"/>
          <w:sz w:val="32"/>
        </w:rPr>
        <w:t>车间（二）</w:t>
      </w:r>
      <w:r>
        <w:rPr>
          <w:rFonts w:ascii="Times New Roman" w:eastAsia="仿宋_GB2312" w:hAnsi="Times New Roman" w:hint="eastAsia"/>
          <w:sz w:val="32"/>
        </w:rPr>
        <w:t>工艺废气通过“</w:t>
      </w:r>
      <w:r>
        <w:rPr>
          <w:rFonts w:ascii="Times New Roman" w:eastAsia="仿宋_GB2312" w:hAnsi="Times New Roman"/>
          <w:sz w:val="32"/>
        </w:rPr>
        <w:t>冷凝</w:t>
      </w:r>
      <w:r>
        <w:rPr>
          <w:rFonts w:ascii="Times New Roman" w:eastAsia="仿宋_GB2312" w:hAnsi="Times New Roman"/>
          <w:sz w:val="32"/>
        </w:rPr>
        <w:t>+</w:t>
      </w:r>
      <w:r>
        <w:rPr>
          <w:rFonts w:ascii="Times New Roman" w:eastAsia="仿宋_GB2312" w:hAnsi="Times New Roman" w:hint="eastAsia"/>
          <w:sz w:val="32"/>
        </w:rPr>
        <w:t>喷淋</w:t>
      </w:r>
      <w:r>
        <w:rPr>
          <w:rFonts w:ascii="Times New Roman" w:eastAsia="仿宋_GB2312" w:hAnsi="Times New Roman" w:hint="eastAsia"/>
          <w:sz w:val="32"/>
        </w:rPr>
        <w:t>+</w:t>
      </w:r>
      <w:r>
        <w:rPr>
          <w:rFonts w:ascii="Times New Roman" w:eastAsia="仿宋_GB2312" w:hAnsi="Times New Roman"/>
          <w:sz w:val="32"/>
        </w:rPr>
        <w:t>除雾</w:t>
      </w:r>
      <w:r>
        <w:rPr>
          <w:rFonts w:ascii="Times New Roman" w:eastAsia="仿宋_GB2312" w:hAnsi="Times New Roman"/>
          <w:sz w:val="32"/>
        </w:rPr>
        <w:t>+</w:t>
      </w:r>
      <w:r>
        <w:rPr>
          <w:rFonts w:ascii="Times New Roman" w:eastAsia="仿宋_GB2312" w:hAnsi="Times New Roman" w:hint="eastAsia"/>
          <w:sz w:val="32"/>
        </w:rPr>
        <w:t>两级活性炭”</w:t>
      </w:r>
      <w:r>
        <w:rPr>
          <w:rFonts w:ascii="Times New Roman" w:eastAsia="仿宋_GB2312" w:hAnsi="Times New Roman" w:hint="eastAsia"/>
          <w:bCs/>
          <w:sz w:val="32"/>
        </w:rPr>
        <w:t>处理后通过</w:t>
      </w:r>
      <w:r>
        <w:rPr>
          <w:rFonts w:ascii="Times New Roman" w:eastAsia="仿宋_GB2312" w:hAnsi="Times New Roman" w:hint="eastAsia"/>
          <w:bCs/>
          <w:sz w:val="32"/>
        </w:rPr>
        <w:t>15m</w:t>
      </w:r>
      <w:r>
        <w:rPr>
          <w:rFonts w:ascii="Times New Roman" w:eastAsia="仿宋_GB2312" w:hAnsi="Times New Roman" w:hint="eastAsia"/>
          <w:bCs/>
          <w:sz w:val="32"/>
        </w:rPr>
        <w:t>排气筒排放</w:t>
      </w:r>
      <w:r>
        <w:rPr>
          <w:rFonts w:ascii="Times New Roman" w:eastAsia="仿宋_GB2312" w:hAnsi="Times New Roman"/>
          <w:bCs/>
          <w:sz w:val="32"/>
        </w:rPr>
        <w:t>，</w:t>
      </w:r>
      <w:r>
        <w:rPr>
          <w:rFonts w:ascii="Times New Roman" w:eastAsia="仿宋_GB2312" w:hAnsi="Times New Roman" w:hint="eastAsia"/>
          <w:sz w:val="32"/>
        </w:rPr>
        <w:t>有机溶剂回收系统应选用密闭、高效的工艺和设备，</w:t>
      </w:r>
      <w:r>
        <w:rPr>
          <w:rFonts w:ascii="Times New Roman" w:eastAsia="仿宋_GB2312" w:hAnsi="Times New Roman"/>
          <w:sz w:val="32"/>
        </w:rPr>
        <w:t>有机溶剂</w:t>
      </w:r>
      <w:r>
        <w:rPr>
          <w:rFonts w:ascii="Times New Roman" w:eastAsia="仿宋_GB2312" w:hAnsi="Times New Roman" w:hint="eastAsia"/>
          <w:sz w:val="32"/>
        </w:rPr>
        <w:t>回收率</w:t>
      </w:r>
      <w:bookmarkStart w:id="3" w:name="OLE_LINK9"/>
      <w:r>
        <w:rPr>
          <w:rFonts w:ascii="仿宋_GB2312" w:eastAsia="仿宋_GB2312" w:hAnsi="仿宋" w:cs="仿宋" w:hint="eastAsia"/>
          <w:sz w:val="32"/>
          <w:szCs w:val="32"/>
        </w:rPr>
        <w:t>不低于</w:t>
      </w:r>
      <w:r>
        <w:rPr>
          <w:rFonts w:ascii="仿宋_GB2312" w:eastAsia="仿宋_GB2312" w:hAnsi="Times New Roman"/>
          <w:sz w:val="32"/>
          <w:szCs w:val="32"/>
        </w:rPr>
        <w:t>80%</w:t>
      </w:r>
      <w:bookmarkEnd w:id="3"/>
      <w:r>
        <w:rPr>
          <w:rFonts w:ascii="仿宋_GB2312" w:eastAsia="仿宋_GB2312" w:hAnsi="Times New Roman"/>
          <w:sz w:val="32"/>
          <w:szCs w:val="32"/>
        </w:rPr>
        <w:t>。</w:t>
      </w:r>
      <w:r>
        <w:rPr>
          <w:rFonts w:ascii="Times New Roman" w:eastAsia="仿宋_GB2312" w:hAnsi="Times New Roman"/>
          <w:bCs/>
          <w:sz w:val="32"/>
        </w:rPr>
        <w:t>危险废物暂存间废气经负压收集活性炭吸附装置处理后通过</w:t>
      </w:r>
      <w:r>
        <w:rPr>
          <w:rFonts w:ascii="Times New Roman" w:eastAsia="仿宋_GB2312" w:hAnsi="Times New Roman" w:hint="eastAsia"/>
          <w:bCs/>
          <w:sz w:val="32"/>
        </w:rPr>
        <w:t>15m</w:t>
      </w:r>
      <w:r>
        <w:rPr>
          <w:rFonts w:ascii="Times New Roman" w:eastAsia="仿宋_GB2312" w:hAnsi="Times New Roman" w:hint="eastAsia"/>
          <w:bCs/>
          <w:sz w:val="32"/>
        </w:rPr>
        <w:t>排气筒排放</w:t>
      </w:r>
      <w:r>
        <w:rPr>
          <w:rFonts w:ascii="Times New Roman" w:eastAsia="仿宋_GB2312" w:hAnsi="Times New Roman"/>
          <w:bCs/>
          <w:sz w:val="32"/>
        </w:rPr>
        <w:t>。</w:t>
      </w:r>
      <w:r>
        <w:rPr>
          <w:rFonts w:ascii="仿宋_GB2312" w:eastAsia="仿宋_GB2312" w:hAnsi="仿宋_GB2312" w:cs="仿宋_GB2312" w:hint="eastAsia"/>
          <w:sz w:val="32"/>
          <w:szCs w:val="32"/>
        </w:rPr>
        <w:t>活性炭按照《报告书》明确的周期及时更换</w:t>
      </w:r>
      <w:r>
        <w:rPr>
          <w:rFonts w:ascii="Times New Roman" w:eastAsia="仿宋_GB2312" w:hAnsi="Times New Roman"/>
          <w:bCs/>
          <w:sz w:val="32"/>
        </w:rPr>
        <w:t>。破碎粉尘</w:t>
      </w:r>
      <w:proofErr w:type="gramStart"/>
      <w:r>
        <w:rPr>
          <w:rFonts w:ascii="Times New Roman" w:eastAsia="仿宋_GB2312" w:hAnsi="Times New Roman"/>
          <w:bCs/>
          <w:sz w:val="32"/>
        </w:rPr>
        <w:t>经设备</w:t>
      </w:r>
      <w:proofErr w:type="gramEnd"/>
      <w:r>
        <w:rPr>
          <w:rFonts w:ascii="Times New Roman" w:eastAsia="仿宋_GB2312" w:hAnsi="Times New Roman"/>
          <w:bCs/>
          <w:sz w:val="32"/>
        </w:rPr>
        <w:t>自带除尘器处理后达标排放；污水处理站臭气经加盖处理后达标排放。</w:t>
      </w:r>
    </w:p>
    <w:p w14:paraId="29408C66" w14:textId="77777777" w:rsidR="00E4310D" w:rsidRDefault="00000000">
      <w:pPr>
        <w:tabs>
          <w:tab w:val="left" w:pos="312"/>
        </w:tabs>
        <w:spacing w:line="560" w:lineRule="exact"/>
        <w:ind w:firstLineChars="200" w:firstLine="640"/>
        <w:outlineLvl w:val="2"/>
        <w:rPr>
          <w:rFonts w:ascii="仿宋_GB2312" w:eastAsia="仿宋_GB2312"/>
          <w:sz w:val="32"/>
          <w:szCs w:val="32"/>
        </w:rPr>
      </w:pPr>
      <w:r>
        <w:rPr>
          <w:rFonts w:ascii="仿宋" w:eastAsia="仿宋" w:hAnsi="仿宋" w:cs="仿宋" w:hint="eastAsia"/>
          <w:sz w:val="32"/>
          <w:szCs w:val="32"/>
        </w:rPr>
        <w:t>有组织污染物排放执行标准:HC</w:t>
      </w:r>
      <w:r>
        <w:rPr>
          <w:rFonts w:ascii="仿宋" w:eastAsia="仿宋" w:hAnsi="仿宋" w:cs="仿宋"/>
          <w:sz w:val="32"/>
          <w:szCs w:val="32"/>
        </w:rPr>
        <w:t>l</w:t>
      </w:r>
      <w:r>
        <w:rPr>
          <w:rFonts w:ascii="仿宋" w:eastAsia="仿宋" w:hAnsi="仿宋" w:cs="仿宋" w:hint="eastAsia"/>
          <w:sz w:val="32"/>
          <w:szCs w:val="32"/>
        </w:rPr>
        <w:t>、TVOC</w:t>
      </w:r>
      <w:r>
        <w:rPr>
          <w:rFonts w:ascii="仿宋" w:eastAsia="仿宋" w:hAnsi="仿宋" w:cs="仿宋"/>
          <w:sz w:val="32"/>
          <w:szCs w:val="32"/>
        </w:rPr>
        <w:t>、NMHC、苯系</w:t>
      </w:r>
      <w:proofErr w:type="gramStart"/>
      <w:r>
        <w:rPr>
          <w:rFonts w:ascii="仿宋" w:eastAsia="仿宋" w:hAnsi="仿宋" w:cs="仿宋"/>
          <w:sz w:val="32"/>
          <w:szCs w:val="32"/>
        </w:rPr>
        <w:t>物</w:t>
      </w:r>
      <w:r>
        <w:rPr>
          <w:rFonts w:ascii="仿宋" w:eastAsia="仿宋" w:hAnsi="仿宋" w:cs="仿宋" w:hint="eastAsia"/>
          <w:sz w:val="32"/>
          <w:szCs w:val="32"/>
        </w:rPr>
        <w:t>执行</w:t>
      </w:r>
      <w:proofErr w:type="gramEnd"/>
      <w:r>
        <w:rPr>
          <w:rFonts w:ascii="仿宋" w:eastAsia="仿宋" w:hAnsi="仿宋" w:cs="仿宋" w:hint="eastAsia"/>
          <w:sz w:val="32"/>
          <w:szCs w:val="32"/>
        </w:rPr>
        <w:t>《制药工业大气污染物排放标准》（GB37823-2019）表 1 中“化学药品原料药制造”相应限值</w:t>
      </w:r>
      <w:r>
        <w:rPr>
          <w:rFonts w:ascii="仿宋" w:eastAsia="仿宋" w:hAnsi="仿宋" w:cs="仿宋"/>
          <w:sz w:val="32"/>
          <w:szCs w:val="32"/>
        </w:rPr>
        <w:t>，</w:t>
      </w:r>
      <w:r>
        <w:rPr>
          <w:rFonts w:ascii="仿宋" w:eastAsia="仿宋" w:hAnsi="仿宋" w:cs="仿宋" w:hint="eastAsia"/>
          <w:sz w:val="32"/>
          <w:szCs w:val="32"/>
        </w:rPr>
        <w:t>废气污染物二氯甲烷参照</w:t>
      </w:r>
      <w:r>
        <w:rPr>
          <w:rFonts w:ascii="仿宋" w:eastAsia="仿宋" w:hAnsi="仿宋" w:cs="仿宋" w:hint="eastAsia"/>
          <w:sz w:val="32"/>
          <w:szCs w:val="32"/>
        </w:rPr>
        <w:lastRenderedPageBreak/>
        <w:t>执行《石油化学工业污染物排放标准》（</w:t>
      </w:r>
      <w:r>
        <w:rPr>
          <w:rFonts w:ascii="Times New Roman" w:eastAsia="仿宋" w:hAnsi="Times New Roman"/>
          <w:sz w:val="32"/>
          <w:szCs w:val="32"/>
        </w:rPr>
        <w:t>GB31571-2015</w:t>
      </w:r>
      <w:r>
        <w:rPr>
          <w:rFonts w:ascii="仿宋" w:eastAsia="仿宋" w:hAnsi="仿宋" w:cs="仿宋" w:hint="eastAsia"/>
          <w:sz w:val="32"/>
          <w:szCs w:val="32"/>
        </w:rPr>
        <w:t>）（含2024年修改单）中的排放限值；厂界污染物排放执行标准：HC</w:t>
      </w:r>
      <w:r>
        <w:rPr>
          <w:rFonts w:ascii="仿宋" w:eastAsia="仿宋" w:hAnsi="仿宋" w:cs="仿宋"/>
          <w:sz w:val="32"/>
          <w:szCs w:val="32"/>
        </w:rPr>
        <w:t>l</w:t>
      </w:r>
      <w:r>
        <w:rPr>
          <w:rFonts w:ascii="仿宋" w:eastAsia="仿宋" w:hAnsi="仿宋" w:cs="仿宋" w:hint="eastAsia"/>
          <w:sz w:val="32"/>
          <w:szCs w:val="32"/>
        </w:rPr>
        <w:t>执行《制药工业大气污染物排放标准》（GB37823-2019）表 4 浓度限值</w:t>
      </w:r>
      <w:r>
        <w:rPr>
          <w:rFonts w:ascii="仿宋" w:eastAsia="仿宋" w:hAnsi="仿宋" w:cs="仿宋"/>
          <w:sz w:val="32"/>
          <w:szCs w:val="32"/>
        </w:rPr>
        <w:t>，</w:t>
      </w:r>
      <w:r>
        <w:rPr>
          <w:rFonts w:ascii="仿宋" w:eastAsia="仿宋" w:hAnsi="仿宋" w:cs="仿宋" w:hint="eastAsia"/>
          <w:sz w:val="32"/>
          <w:szCs w:val="32"/>
        </w:rPr>
        <w:t>NMHC 执行《大气污染物综合排放标准》（GB16297-1996）表 2 中限值</w:t>
      </w:r>
      <w:r>
        <w:rPr>
          <w:rFonts w:ascii="仿宋" w:eastAsia="仿宋" w:hAnsi="仿宋" w:cs="仿宋"/>
          <w:sz w:val="32"/>
          <w:szCs w:val="32"/>
        </w:rPr>
        <w:t>，氨气、硫化氢、臭气浓度</w:t>
      </w:r>
      <w:proofErr w:type="gramStart"/>
      <w:r>
        <w:rPr>
          <w:rFonts w:ascii="仿宋" w:eastAsia="仿宋" w:hAnsi="仿宋" w:cs="仿宋"/>
          <w:sz w:val="32"/>
          <w:szCs w:val="32"/>
        </w:rPr>
        <w:t>执行</w:t>
      </w:r>
      <w:r>
        <w:rPr>
          <w:rFonts w:ascii="仿宋_GB2312" w:eastAsia="仿宋_GB2312" w:hAnsi="仿宋_GB2312" w:cs="仿宋_GB2312" w:hint="eastAsia"/>
          <w:sz w:val="32"/>
          <w:szCs w:val="32"/>
        </w:rPr>
        <w:t>执行</w:t>
      </w:r>
      <w:proofErr w:type="gramEnd"/>
      <w:r>
        <w:rPr>
          <w:rFonts w:ascii="仿宋_GB2312" w:eastAsia="仿宋_GB2312" w:hAnsi="仿宋_GB2312" w:cs="仿宋_GB2312" w:hint="eastAsia"/>
          <w:sz w:val="32"/>
          <w:szCs w:val="32"/>
          <w:lang w:val="zh-CN"/>
        </w:rPr>
        <w:t>《</w:t>
      </w:r>
      <w:bookmarkStart w:id="4" w:name="OLE_LINK16"/>
      <w:r>
        <w:rPr>
          <w:rFonts w:ascii="仿宋_GB2312" w:eastAsia="仿宋_GB2312" w:hAnsi="仿宋_GB2312" w:cs="仿宋_GB2312" w:hint="eastAsia"/>
          <w:sz w:val="32"/>
          <w:szCs w:val="32"/>
          <w:lang w:val="zh-CN"/>
        </w:rPr>
        <w:t>恶臭污染物排放标准</w:t>
      </w:r>
      <w:bookmarkEnd w:id="4"/>
      <w:r>
        <w:rPr>
          <w:rFonts w:ascii="仿宋_GB2312" w:eastAsia="仿宋_GB2312" w:hAnsi="仿宋_GB2312" w:cs="仿宋_GB2312" w:hint="eastAsia"/>
          <w:sz w:val="32"/>
          <w:szCs w:val="32"/>
          <w:lang w:val="zh-CN"/>
        </w:rPr>
        <w:t>》</w:t>
      </w:r>
      <w:bookmarkStart w:id="5" w:name="OLE_LINK15"/>
      <w:r>
        <w:rPr>
          <w:rFonts w:ascii="仿宋_GB2312" w:eastAsia="仿宋_GB2312" w:hAnsi="仿宋_GB2312" w:cs="仿宋_GB2312" w:hint="eastAsia"/>
          <w:sz w:val="32"/>
          <w:szCs w:val="32"/>
          <w:lang w:val="zh-CN"/>
        </w:rPr>
        <w:t>（</w:t>
      </w:r>
      <w:r>
        <w:rPr>
          <w:rFonts w:ascii="仿宋_GB2312" w:eastAsia="仿宋_GB2312" w:hAnsi="仿宋_GB2312" w:cs="仿宋_GB2312" w:hint="eastAsia"/>
          <w:sz w:val="32"/>
          <w:szCs w:val="32"/>
        </w:rPr>
        <w:t>GB14554-93</w:t>
      </w:r>
      <w:r>
        <w:rPr>
          <w:rFonts w:ascii="仿宋_GB2312" w:eastAsia="仿宋_GB2312" w:hAnsi="仿宋_GB2312" w:cs="仿宋_GB2312" w:hint="eastAsia"/>
          <w:sz w:val="32"/>
          <w:szCs w:val="32"/>
          <w:lang w:val="zh-CN"/>
        </w:rPr>
        <w:t>）</w:t>
      </w:r>
      <w:bookmarkEnd w:id="5"/>
      <w:r>
        <w:rPr>
          <w:rFonts w:ascii="仿宋_GB2312" w:eastAsia="仿宋_GB2312" w:hAnsi="仿宋_GB2312" w:cs="仿宋_GB2312" w:hint="eastAsia"/>
          <w:sz w:val="32"/>
          <w:szCs w:val="32"/>
          <w:lang w:val="zh-CN"/>
        </w:rPr>
        <w:t>中的排放限值</w:t>
      </w:r>
      <w:r>
        <w:rPr>
          <w:rFonts w:ascii="仿宋_GB2312" w:eastAsia="仿宋_GB2312" w:hAnsi="仿宋_GB2312" w:cs="仿宋_GB2312"/>
          <w:sz w:val="32"/>
          <w:szCs w:val="32"/>
          <w:lang w:val="zh-CN"/>
        </w:rPr>
        <w:t>。</w:t>
      </w:r>
    </w:p>
    <w:p w14:paraId="2C56FF1F" w14:textId="77777777" w:rsidR="00E4310D" w:rsidRDefault="00000000">
      <w:pPr>
        <w:spacing w:line="560" w:lineRule="exact"/>
        <w:ind w:firstLineChars="200" w:firstLine="640"/>
        <w:rPr>
          <w:rFonts w:ascii="仿宋_GB2312" w:eastAsia="仿宋_GB2312"/>
          <w:sz w:val="32"/>
          <w:szCs w:val="32"/>
        </w:rPr>
      </w:pPr>
      <w:r>
        <w:rPr>
          <w:rFonts w:ascii="仿宋_GB2312" w:eastAsia="仿宋_GB2312"/>
          <w:sz w:val="32"/>
          <w:szCs w:val="32"/>
        </w:rPr>
        <w:t>2.</w:t>
      </w:r>
      <w:r>
        <w:rPr>
          <w:rFonts w:ascii="仿宋_GB2312" w:eastAsia="仿宋_GB2312" w:hint="eastAsia"/>
          <w:sz w:val="32"/>
          <w:szCs w:val="32"/>
        </w:rPr>
        <w:t>根据《重点管控新污染物清单（2023年版）》，本项目涉及的二氯甲烷属于重点</w:t>
      </w:r>
      <w:proofErr w:type="gramStart"/>
      <w:r>
        <w:rPr>
          <w:rFonts w:ascii="仿宋_GB2312" w:eastAsia="仿宋_GB2312" w:hint="eastAsia"/>
          <w:sz w:val="32"/>
          <w:szCs w:val="32"/>
        </w:rPr>
        <w:t>管控新污染物</w:t>
      </w:r>
      <w:proofErr w:type="gramEnd"/>
      <w:r>
        <w:rPr>
          <w:rFonts w:ascii="仿宋_GB2312" w:eastAsia="仿宋_GB2312" w:hint="eastAsia"/>
          <w:sz w:val="32"/>
          <w:szCs w:val="32"/>
        </w:rPr>
        <w:t>和有毒有害物质，建设单位要严格落实《关于加强重点行业涉新污染物建设项目环境影响评价工作的意见》中的要求。建设单位对新污染物应按照国家有关规定建立环境风险应急体系，对排放口和周边环境定期监测，保存原始监测记录,并依法公开排放信息。</w:t>
      </w:r>
    </w:p>
    <w:p w14:paraId="2086087A" w14:textId="77777777" w:rsidR="00E4310D" w:rsidRDefault="00000000">
      <w:pPr>
        <w:spacing w:line="560" w:lineRule="exact"/>
        <w:ind w:firstLineChars="200" w:firstLine="640"/>
        <w:rPr>
          <w:rFonts w:ascii="仿宋_GB2312" w:eastAsia="仿宋_GB2312" w:hAnsi="仿宋" w:cs="仿宋" w:hint="eastAsia"/>
          <w:sz w:val="32"/>
          <w:szCs w:val="32"/>
        </w:rPr>
      </w:pPr>
      <w:r>
        <w:rPr>
          <w:rFonts w:ascii="仿宋_GB2312" w:eastAsia="仿宋_GB2312" w:hint="eastAsia"/>
          <w:sz w:val="32"/>
          <w:szCs w:val="32"/>
        </w:rPr>
        <w:t>(三)</w:t>
      </w:r>
      <w:r>
        <w:rPr>
          <w:rFonts w:ascii="仿宋_GB2312" w:eastAsia="仿宋_GB2312"/>
          <w:sz w:val="32"/>
          <w:szCs w:val="32"/>
        </w:rPr>
        <w:t>严格落实</w:t>
      </w:r>
      <w:r>
        <w:rPr>
          <w:rFonts w:ascii="仿宋_GB2312" w:eastAsia="仿宋_GB2312" w:hint="eastAsia"/>
          <w:sz w:val="32"/>
          <w:szCs w:val="32"/>
        </w:rPr>
        <w:t>噪声</w:t>
      </w:r>
      <w:r>
        <w:rPr>
          <w:rFonts w:ascii="仿宋_GB2312" w:eastAsia="仿宋_GB2312"/>
          <w:sz w:val="32"/>
          <w:szCs w:val="32"/>
        </w:rPr>
        <w:t>污染防治措施</w:t>
      </w:r>
      <w:r>
        <w:rPr>
          <w:rFonts w:ascii="仿宋_GB2312" w:eastAsia="仿宋_GB2312" w:hint="eastAsia"/>
          <w:sz w:val="32"/>
          <w:szCs w:val="32"/>
        </w:rPr>
        <w:t>。</w:t>
      </w:r>
      <w:r>
        <w:rPr>
          <w:rFonts w:ascii="仿宋_GB2312" w:eastAsia="仿宋_GB2312" w:hAnsi="仿宋" w:cs="仿宋" w:hint="eastAsia"/>
          <w:sz w:val="32"/>
          <w:szCs w:val="32"/>
        </w:rPr>
        <w:t>优化设备选型和平面布置，落实噪声污染防治措施。选用低噪声设备，采取有效的隔声降噪措施，并加强设备的维护保养，确保厂界环境噪声达到《工业企业厂界环境噪声排放标准》（</w:t>
      </w:r>
      <w:r>
        <w:rPr>
          <w:rFonts w:ascii="仿宋_GB2312" w:eastAsia="仿宋_GB2312" w:hAnsi="Times New Roman" w:hint="eastAsia"/>
          <w:sz w:val="32"/>
          <w:szCs w:val="32"/>
        </w:rPr>
        <w:t>GB12348-2008</w:t>
      </w:r>
      <w:r>
        <w:rPr>
          <w:rFonts w:ascii="仿宋_GB2312" w:eastAsia="仿宋_GB2312" w:hAnsi="仿宋" w:cs="仿宋" w:hint="eastAsia"/>
          <w:sz w:val="32"/>
          <w:szCs w:val="32"/>
        </w:rPr>
        <w:t>）</w:t>
      </w:r>
      <w:r>
        <w:rPr>
          <w:rFonts w:ascii="仿宋" w:eastAsia="仿宋" w:hAnsi="仿宋" w:cs="仿宋" w:hint="eastAsia"/>
          <w:sz w:val="32"/>
          <w:szCs w:val="32"/>
        </w:rPr>
        <w:t>中</w:t>
      </w:r>
      <w:r>
        <w:rPr>
          <w:rFonts w:ascii="仿宋" w:eastAsia="仿宋" w:hAnsi="仿宋" w:cs="仿宋"/>
          <w:sz w:val="32"/>
          <w:szCs w:val="32"/>
        </w:rPr>
        <w:t>相应</w:t>
      </w:r>
      <w:r>
        <w:rPr>
          <w:rFonts w:ascii="仿宋" w:eastAsia="仿宋" w:hAnsi="仿宋" w:cs="仿宋" w:hint="eastAsia"/>
          <w:sz w:val="32"/>
          <w:szCs w:val="32"/>
        </w:rPr>
        <w:t>标准</w:t>
      </w:r>
      <w:r>
        <w:rPr>
          <w:rFonts w:ascii="仿宋_GB2312" w:eastAsia="仿宋_GB2312" w:hAnsi="仿宋" w:cs="仿宋" w:hint="eastAsia"/>
          <w:sz w:val="32"/>
          <w:szCs w:val="32"/>
        </w:rPr>
        <w:t>。</w:t>
      </w:r>
    </w:p>
    <w:p w14:paraId="50FFFD59" w14:textId="77777777" w:rsidR="00E4310D" w:rsidRDefault="00000000">
      <w:pPr>
        <w:spacing w:line="560" w:lineRule="exact"/>
        <w:ind w:firstLineChars="200" w:firstLine="640"/>
        <w:rPr>
          <w:rFonts w:ascii="仿宋_GB2312" w:eastAsia="仿宋_GB2312"/>
          <w:sz w:val="32"/>
          <w:szCs w:val="32"/>
        </w:rPr>
      </w:pPr>
      <w:r>
        <w:rPr>
          <w:rFonts w:ascii="仿宋_GB2312" w:eastAsia="仿宋_GB2312" w:hint="eastAsia"/>
          <w:sz w:val="32"/>
          <w:szCs w:val="32"/>
        </w:rPr>
        <w:t>(四)</w:t>
      </w:r>
      <w:r>
        <w:rPr>
          <w:rFonts w:ascii="仿宋_GB2312" w:eastAsia="仿宋_GB2312"/>
          <w:sz w:val="32"/>
          <w:szCs w:val="32"/>
        </w:rPr>
        <w:t>严格落实固体废物污染防治措施</w:t>
      </w:r>
      <w:r>
        <w:rPr>
          <w:rFonts w:ascii="仿宋_GB2312" w:eastAsia="仿宋_GB2312" w:hint="eastAsia"/>
          <w:sz w:val="32"/>
          <w:szCs w:val="32"/>
        </w:rPr>
        <w:t>。按照“减量化、资源化、无害化”</w:t>
      </w:r>
      <w:r>
        <w:rPr>
          <w:rFonts w:ascii="仿宋_GB2312" w:eastAsia="仿宋_GB2312" w:hAnsi="仿宋_GB2312" w:cs="仿宋_GB2312" w:hint="eastAsia"/>
          <w:sz w:val="32"/>
          <w:szCs w:val="32"/>
        </w:rPr>
        <w:t>的原则做好固体废物的综合利用和安全处置工作。本项目危险废物暂存间需满足《危险废物贮存污染控制标准》(GB18597-2023)要求，固体废物</w:t>
      </w:r>
      <w:proofErr w:type="gramStart"/>
      <w:r>
        <w:rPr>
          <w:rFonts w:ascii="仿宋_GB2312" w:eastAsia="仿宋_GB2312" w:hAnsi="仿宋_GB2312" w:cs="仿宋_GB2312" w:hint="eastAsia"/>
          <w:sz w:val="32"/>
          <w:szCs w:val="32"/>
        </w:rPr>
        <w:t>贮存间须满足</w:t>
      </w:r>
      <w:proofErr w:type="gramEnd"/>
      <w:r>
        <w:rPr>
          <w:rFonts w:ascii="仿宋_GB2312" w:eastAsia="仿宋_GB2312" w:hAnsi="仿宋_GB2312" w:cs="仿宋_GB2312" w:hint="eastAsia"/>
          <w:sz w:val="32"/>
          <w:szCs w:val="32"/>
        </w:rPr>
        <w:t>《一般工业固体废物贮存和填埋污染控制标准》(GB18599-2020)要求。严格按照环评报告书提出的各项要求与措施，做好危险化学品、</w:t>
      </w:r>
      <w:r>
        <w:rPr>
          <w:rFonts w:ascii="仿宋_GB2312" w:eastAsia="仿宋_GB2312" w:hAnsi="仿宋_GB2312" w:cs="仿宋_GB2312" w:hint="eastAsia"/>
          <w:sz w:val="32"/>
          <w:szCs w:val="32"/>
        </w:rPr>
        <w:lastRenderedPageBreak/>
        <w:t>危险废物的分区贮存</w:t>
      </w:r>
      <w:r>
        <w:rPr>
          <w:rFonts w:ascii="仿宋_GB2312" w:eastAsia="仿宋_GB2312" w:hAnsi="仿宋_GB2312" w:cs="仿宋_GB2312"/>
          <w:sz w:val="32"/>
          <w:szCs w:val="32"/>
        </w:rPr>
        <w:t>，</w:t>
      </w:r>
      <w:r>
        <w:rPr>
          <w:rFonts w:ascii="Times New Roman" w:eastAsia="仿宋" w:hAnsi="Times New Roman" w:hint="eastAsia"/>
          <w:sz w:val="32"/>
          <w:szCs w:val="32"/>
        </w:rPr>
        <w:t>严禁易燃易爆品混存</w:t>
      </w:r>
      <w:r>
        <w:rPr>
          <w:rFonts w:ascii="Times New Roman" w:eastAsia="仿宋" w:hAnsi="Times New Roman"/>
          <w:sz w:val="32"/>
          <w:szCs w:val="32"/>
        </w:rPr>
        <w:t>。</w:t>
      </w:r>
      <w:r>
        <w:rPr>
          <w:rFonts w:ascii="仿宋" w:eastAsia="仿宋" w:hAnsi="仿宋" w:cs="仿宋" w:hint="eastAsia"/>
          <w:sz w:val="32"/>
          <w:szCs w:val="32"/>
        </w:rPr>
        <w:t>本项目</w:t>
      </w:r>
      <w:r>
        <w:rPr>
          <w:rFonts w:ascii="仿宋_GB2312" w:eastAsia="仿宋_GB2312" w:hAnsi="仿宋_GB2312" w:cs="仿宋_GB2312" w:hint="eastAsia"/>
          <w:spacing w:val="14"/>
          <w:sz w:val="32"/>
          <w:szCs w:val="32"/>
        </w:rPr>
        <w:t>含有二氯甲烷的废液</w:t>
      </w:r>
      <w:r>
        <w:rPr>
          <w:rFonts w:ascii="仿宋_GB2312" w:eastAsia="仿宋_GB2312" w:hAnsi="仿宋_GB2312" w:cs="仿宋_GB2312"/>
          <w:spacing w:val="14"/>
          <w:sz w:val="32"/>
          <w:szCs w:val="32"/>
        </w:rPr>
        <w:t>、生产过程中产生的各种工艺废液</w:t>
      </w:r>
      <w:r>
        <w:rPr>
          <w:rFonts w:ascii="仿宋_GB2312" w:eastAsia="仿宋_GB2312"/>
          <w:sz w:val="32"/>
          <w:szCs w:val="32"/>
        </w:rPr>
        <w:t>、</w:t>
      </w:r>
      <w:r>
        <w:rPr>
          <w:rFonts w:ascii="仿宋_GB2312" w:eastAsia="仿宋_GB2312" w:hint="eastAsia"/>
          <w:sz w:val="32"/>
          <w:szCs w:val="32"/>
        </w:rPr>
        <w:t>沾有化学药品的废弃包装材料</w:t>
      </w:r>
      <w:r>
        <w:rPr>
          <w:rFonts w:ascii="仿宋_GB2312" w:eastAsia="仿宋_GB2312"/>
          <w:sz w:val="32"/>
          <w:szCs w:val="32"/>
        </w:rPr>
        <w:t>、废活性炭</w:t>
      </w:r>
      <w:r>
        <w:rPr>
          <w:rFonts w:ascii="仿宋_GB2312" w:eastAsia="仿宋_GB2312" w:hint="eastAsia"/>
          <w:sz w:val="32"/>
          <w:szCs w:val="32"/>
        </w:rPr>
        <w:t>等</w:t>
      </w:r>
      <w:proofErr w:type="gramStart"/>
      <w:r>
        <w:rPr>
          <w:rFonts w:ascii="仿宋" w:eastAsia="仿宋" w:hAnsi="仿宋" w:cs="仿宋" w:hint="eastAsia"/>
          <w:sz w:val="32"/>
          <w:szCs w:val="32"/>
        </w:rPr>
        <w:t>危废严格</w:t>
      </w:r>
      <w:proofErr w:type="gramEnd"/>
      <w:r>
        <w:rPr>
          <w:rFonts w:ascii="仿宋" w:eastAsia="仿宋" w:hAnsi="仿宋" w:cs="仿宋" w:hint="eastAsia"/>
          <w:sz w:val="32"/>
          <w:szCs w:val="32"/>
        </w:rPr>
        <w:t>按照</w:t>
      </w:r>
      <w:r>
        <w:rPr>
          <w:rFonts w:ascii="仿宋_GB2312" w:eastAsia="仿宋_GB2312" w:hAnsi="仿宋" w:cs="仿宋" w:hint="eastAsia"/>
          <w:sz w:val="32"/>
          <w:szCs w:val="32"/>
        </w:rPr>
        <w:t>《危险废物贮存污染控制标准》</w:t>
      </w:r>
      <w:r>
        <w:rPr>
          <w:rFonts w:ascii="仿宋_GB2312" w:eastAsia="仿宋_GB2312" w:hAnsi="Times New Roman" w:hint="eastAsia"/>
          <w:sz w:val="32"/>
          <w:szCs w:val="32"/>
        </w:rPr>
        <w:t>(GB18597-2023)</w:t>
      </w:r>
      <w:r>
        <w:rPr>
          <w:rFonts w:ascii="仿宋" w:eastAsia="仿宋" w:hAnsi="仿宋" w:cs="仿宋" w:hint="eastAsia"/>
          <w:sz w:val="32"/>
          <w:szCs w:val="32"/>
        </w:rPr>
        <w:t>要求进行管理，</w:t>
      </w:r>
      <w:r>
        <w:rPr>
          <w:rFonts w:ascii="仿宋_GB2312" w:eastAsia="仿宋_GB2312" w:hAnsi="仿宋" w:cs="仿宋" w:hint="eastAsia"/>
          <w:sz w:val="32"/>
          <w:szCs w:val="32"/>
        </w:rPr>
        <w:t>定期交法定资质单位处置</w:t>
      </w:r>
      <w:r>
        <w:rPr>
          <w:rFonts w:ascii="仿宋_GB2312" w:eastAsia="仿宋_GB2312" w:hint="eastAsia"/>
          <w:sz w:val="32"/>
          <w:szCs w:val="32"/>
        </w:rPr>
        <w:t>，并严格落实危险废物转移联单制度。生活垃圾</w:t>
      </w:r>
      <w:r>
        <w:rPr>
          <w:rFonts w:ascii="仿宋_GB2312" w:eastAsia="仿宋_GB2312" w:hAnsi="仿宋" w:cs="仿宋" w:hint="eastAsia"/>
          <w:sz w:val="32"/>
          <w:szCs w:val="32"/>
        </w:rPr>
        <w:t>进行分类收集后交环卫部门处置。</w:t>
      </w:r>
    </w:p>
    <w:p w14:paraId="07A70EAF" w14:textId="77777777" w:rsidR="00E4310D" w:rsidRDefault="00000000">
      <w:pPr>
        <w:spacing w:line="560" w:lineRule="exact"/>
        <w:ind w:firstLineChars="200" w:firstLine="640"/>
        <w:rPr>
          <w:rFonts w:ascii="仿宋_GB2312" w:eastAsia="仿宋_GB2312" w:hAnsi="Times New Roman"/>
          <w:bCs/>
          <w:sz w:val="32"/>
        </w:rPr>
      </w:pPr>
      <w:r>
        <w:rPr>
          <w:rFonts w:ascii="仿宋_GB2312" w:eastAsia="仿宋_GB2312" w:hint="eastAsia"/>
          <w:sz w:val="32"/>
          <w:szCs w:val="32"/>
        </w:rPr>
        <w:t>(五)</w:t>
      </w:r>
      <w:r>
        <w:rPr>
          <w:rFonts w:ascii="仿宋_GB2312" w:eastAsia="仿宋_GB2312"/>
          <w:sz w:val="32"/>
          <w:szCs w:val="32"/>
        </w:rPr>
        <w:t>加强</w:t>
      </w:r>
      <w:r>
        <w:rPr>
          <w:rFonts w:ascii="仿宋_GB2312" w:eastAsia="仿宋_GB2312" w:hint="eastAsia"/>
          <w:sz w:val="32"/>
          <w:szCs w:val="32"/>
        </w:rPr>
        <w:t>环境风险防范。</w:t>
      </w:r>
      <w:r>
        <w:rPr>
          <w:rFonts w:ascii="仿宋_GB2312" w:eastAsia="仿宋_GB2312" w:hAnsi="仿宋" w:cs="仿宋" w:hint="eastAsia"/>
          <w:sz w:val="32"/>
          <w:szCs w:val="32"/>
        </w:rPr>
        <w:t>建设单位要严格按照《危险化学品安全管理条例》的相关要求落实危险化学品储存、运输、使用过程中各项安全管理要求</w:t>
      </w:r>
      <w:r>
        <w:rPr>
          <w:rFonts w:ascii="仿宋_GB2312" w:eastAsia="仿宋_GB2312" w:hAnsi="仿宋" w:cs="仿宋"/>
          <w:sz w:val="32"/>
          <w:szCs w:val="32"/>
        </w:rPr>
        <w:t>。</w:t>
      </w:r>
      <w:r>
        <w:rPr>
          <w:rFonts w:ascii="仿宋_GB2312" w:eastAsia="仿宋_GB2312" w:hAnsi="仿宋_GB2312" w:cs="仿宋_GB2312" w:hint="eastAsia"/>
          <w:sz w:val="32"/>
          <w:szCs w:val="32"/>
        </w:rPr>
        <w:t>制定环境保护管理制度，设立专门环保机构，风险岗位实行专人专责。制定突发环境事件应急预案，并与当地相关应急预案进行有效衔接，掌握应急资源，备齐应急物</w:t>
      </w:r>
      <w:r>
        <w:rPr>
          <w:rFonts w:ascii="仿宋_GB2312" w:eastAsia="仿宋_GB2312" w:hAnsi="仿宋_GB2312" w:cs="仿宋_GB2312"/>
          <w:sz w:val="32"/>
          <w:szCs w:val="32"/>
        </w:rPr>
        <w:t>资</w:t>
      </w:r>
      <w:r>
        <w:rPr>
          <w:rFonts w:ascii="仿宋_GB2312" w:eastAsia="仿宋_GB2312" w:hAnsi="仿宋_GB2312" w:cs="仿宋_GB2312" w:hint="eastAsia"/>
          <w:sz w:val="32"/>
          <w:szCs w:val="32"/>
        </w:rPr>
        <w:t>，加强应急培训和演练，提高各方应急能力。</w:t>
      </w:r>
      <w:r>
        <w:rPr>
          <w:rFonts w:ascii="仿宋_GB2312" w:eastAsia="仿宋_GB2312" w:hAnsi="仿宋_GB2312" w:cs="仿宋_GB2312"/>
          <w:sz w:val="32"/>
          <w:szCs w:val="32"/>
        </w:rPr>
        <w:t>做好</w:t>
      </w:r>
      <w:r>
        <w:rPr>
          <w:rFonts w:ascii="仿宋_GB2312" w:eastAsia="仿宋_GB2312" w:hAnsi="仿宋_GB2312" w:cs="仿宋_GB2312" w:hint="eastAsia"/>
          <w:sz w:val="32"/>
          <w:szCs w:val="32"/>
        </w:rPr>
        <w:t>生产车间、</w:t>
      </w:r>
      <w:proofErr w:type="gramStart"/>
      <w:r>
        <w:rPr>
          <w:rFonts w:ascii="仿宋_GB2312" w:eastAsia="仿宋_GB2312" w:hAnsi="仿宋" w:cs="仿宋"/>
          <w:sz w:val="32"/>
          <w:szCs w:val="32"/>
        </w:rPr>
        <w:t>危废暂存</w:t>
      </w:r>
      <w:proofErr w:type="gramEnd"/>
      <w:r>
        <w:rPr>
          <w:rFonts w:ascii="仿宋_GB2312" w:eastAsia="仿宋_GB2312" w:hAnsi="仿宋" w:cs="仿宋"/>
          <w:sz w:val="32"/>
          <w:szCs w:val="32"/>
        </w:rPr>
        <w:t>间</w:t>
      </w:r>
      <w:r>
        <w:rPr>
          <w:rFonts w:ascii="仿宋_GB2312" w:eastAsia="仿宋_GB2312" w:hAnsi="仿宋_GB2312" w:cs="仿宋_GB2312" w:hint="eastAsia"/>
          <w:sz w:val="32"/>
          <w:szCs w:val="32"/>
        </w:rPr>
        <w:t>、化学品仓库</w:t>
      </w:r>
      <w:r>
        <w:rPr>
          <w:rFonts w:ascii="仿宋_GB2312" w:eastAsia="仿宋_GB2312" w:hAnsi="仿宋_GB2312" w:cs="仿宋_GB2312"/>
          <w:sz w:val="32"/>
          <w:szCs w:val="32"/>
        </w:rPr>
        <w:t>、储罐区</w:t>
      </w:r>
      <w:r>
        <w:rPr>
          <w:rFonts w:ascii="仿宋_GB2312" w:eastAsia="仿宋_GB2312" w:hAnsi="仿宋_GB2312" w:cs="仿宋_GB2312" w:hint="eastAsia"/>
          <w:sz w:val="32"/>
          <w:szCs w:val="32"/>
        </w:rPr>
        <w:t>的</w:t>
      </w:r>
      <w:r>
        <w:rPr>
          <w:rFonts w:ascii="仿宋_GB2312" w:eastAsia="仿宋_GB2312" w:hAnsi="仿宋_GB2312" w:cs="仿宋_GB2312"/>
          <w:sz w:val="32"/>
          <w:szCs w:val="32"/>
        </w:rPr>
        <w:t>安全防范</w:t>
      </w:r>
      <w:r>
        <w:rPr>
          <w:rFonts w:ascii="仿宋_GB2312" w:eastAsia="仿宋_GB2312" w:hAnsi="仿宋_GB2312" w:cs="仿宋_GB2312" w:hint="eastAsia"/>
          <w:sz w:val="32"/>
          <w:szCs w:val="32"/>
        </w:rPr>
        <w:t>，</w:t>
      </w:r>
      <w:r>
        <w:rPr>
          <w:rFonts w:ascii="仿宋_GB2312" w:eastAsia="仿宋_GB2312" w:hAnsi="仿宋_GB2312" w:cs="仿宋_GB2312"/>
          <w:sz w:val="32"/>
          <w:szCs w:val="32"/>
        </w:rPr>
        <w:t>设置</w:t>
      </w:r>
      <w:r>
        <w:rPr>
          <w:rFonts w:ascii="仿宋_GB2312" w:eastAsia="仿宋_GB2312" w:hAnsi="仿宋_GB2312" w:cs="仿宋_GB2312" w:hint="eastAsia"/>
          <w:sz w:val="32"/>
          <w:szCs w:val="32"/>
        </w:rPr>
        <w:t>不小于9</w:t>
      </w:r>
      <w:r>
        <w:rPr>
          <w:rFonts w:ascii="仿宋_GB2312" w:eastAsia="仿宋_GB2312" w:hAnsi="仿宋_GB2312" w:cs="仿宋_GB2312"/>
          <w:sz w:val="32"/>
          <w:szCs w:val="32"/>
        </w:rPr>
        <w:t>0</w:t>
      </w:r>
      <w:r>
        <w:rPr>
          <w:rFonts w:ascii="仿宋_GB2312" w:eastAsia="仿宋_GB2312" w:hAnsi="仿宋_GB2312" w:cs="仿宋_GB2312" w:hint="eastAsia"/>
          <w:sz w:val="32"/>
          <w:szCs w:val="32"/>
        </w:rPr>
        <w:t>0m</w:t>
      </w:r>
      <w:r>
        <w:rPr>
          <w:rFonts w:ascii="仿宋_GB2312" w:eastAsia="仿宋_GB2312" w:hAnsi="仿宋_GB2312" w:cs="仿宋_GB2312" w:hint="eastAsia"/>
          <w:sz w:val="32"/>
          <w:szCs w:val="32"/>
          <w:vertAlign w:val="superscript"/>
        </w:rPr>
        <w:t>3</w:t>
      </w:r>
      <w:r>
        <w:rPr>
          <w:rFonts w:ascii="仿宋_GB2312" w:eastAsia="仿宋_GB2312" w:hAnsi="仿宋_GB2312" w:cs="仿宋_GB2312" w:hint="eastAsia"/>
          <w:sz w:val="32"/>
          <w:szCs w:val="32"/>
        </w:rPr>
        <w:t>的事故池</w:t>
      </w:r>
      <w:r>
        <w:rPr>
          <w:rFonts w:ascii="仿宋_GB2312" w:eastAsia="仿宋_GB2312" w:hAnsi="仿宋_GB2312" w:cs="仿宋_GB2312"/>
          <w:sz w:val="32"/>
          <w:szCs w:val="32"/>
        </w:rPr>
        <w:t>、70</w:t>
      </w:r>
      <w:r>
        <w:rPr>
          <w:rFonts w:ascii="仿宋_GB2312" w:eastAsia="仿宋_GB2312" w:hAnsi="仿宋_GB2312" w:cs="仿宋_GB2312" w:hint="eastAsia"/>
          <w:sz w:val="32"/>
          <w:szCs w:val="32"/>
        </w:rPr>
        <w:t>0m</w:t>
      </w:r>
      <w:r>
        <w:rPr>
          <w:rFonts w:ascii="仿宋_GB2312" w:eastAsia="仿宋_GB2312" w:hAnsi="仿宋_GB2312" w:cs="仿宋_GB2312" w:hint="eastAsia"/>
          <w:sz w:val="32"/>
          <w:szCs w:val="32"/>
          <w:vertAlign w:val="superscript"/>
        </w:rPr>
        <w:t>3</w:t>
      </w:r>
      <w:r>
        <w:rPr>
          <w:rFonts w:ascii="仿宋_GB2312" w:eastAsia="仿宋_GB2312" w:hAnsi="仿宋_GB2312" w:cs="仿宋_GB2312" w:hint="eastAsia"/>
          <w:sz w:val="32"/>
          <w:szCs w:val="32"/>
        </w:rPr>
        <w:t>的</w:t>
      </w:r>
      <w:r>
        <w:rPr>
          <w:rFonts w:ascii="仿宋_GB2312" w:eastAsia="仿宋_GB2312" w:hAnsi="仿宋_GB2312" w:cs="仿宋_GB2312"/>
          <w:sz w:val="32"/>
          <w:szCs w:val="32"/>
        </w:rPr>
        <w:t>消防水</w:t>
      </w:r>
      <w:r>
        <w:rPr>
          <w:rFonts w:ascii="仿宋_GB2312" w:eastAsia="仿宋_GB2312" w:hAnsi="仿宋_GB2312" w:cs="仿宋_GB2312" w:hint="eastAsia"/>
          <w:sz w:val="32"/>
          <w:szCs w:val="32"/>
        </w:rPr>
        <w:t>池，</w:t>
      </w:r>
      <w:r>
        <w:rPr>
          <w:rFonts w:ascii="仿宋_GB2312" w:eastAsia="仿宋_GB2312" w:hAnsi="仿宋" w:cs="仿宋" w:hint="eastAsia"/>
          <w:sz w:val="32"/>
          <w:szCs w:val="32"/>
        </w:rPr>
        <w:t>事故废水应急池在非事故时处于空置状态</w:t>
      </w:r>
      <w:r>
        <w:rPr>
          <w:rFonts w:ascii="仿宋_GB2312" w:eastAsia="仿宋_GB2312" w:hAnsi="仿宋" w:cs="仿宋"/>
          <w:sz w:val="32"/>
          <w:szCs w:val="32"/>
        </w:rPr>
        <w:t>，</w:t>
      </w:r>
      <w:r>
        <w:rPr>
          <w:rFonts w:ascii="仿宋_GB2312" w:eastAsia="仿宋_GB2312" w:hAnsi="仿宋" w:cs="仿宋" w:hint="eastAsia"/>
          <w:sz w:val="32"/>
          <w:szCs w:val="32"/>
        </w:rPr>
        <w:t>危险化学品库、各生产车间</w:t>
      </w:r>
      <w:r>
        <w:rPr>
          <w:rFonts w:ascii="仿宋_GB2312" w:eastAsia="仿宋_GB2312" w:hAnsi="仿宋" w:cs="仿宋"/>
          <w:sz w:val="32"/>
          <w:szCs w:val="32"/>
        </w:rPr>
        <w:t>、</w:t>
      </w:r>
      <w:proofErr w:type="gramStart"/>
      <w:r>
        <w:rPr>
          <w:rFonts w:ascii="仿宋_GB2312" w:eastAsia="仿宋_GB2312" w:hAnsi="仿宋" w:cs="仿宋"/>
          <w:sz w:val="32"/>
          <w:szCs w:val="32"/>
        </w:rPr>
        <w:t>危废暂存</w:t>
      </w:r>
      <w:proofErr w:type="gramEnd"/>
      <w:r>
        <w:rPr>
          <w:rFonts w:ascii="仿宋_GB2312" w:eastAsia="仿宋_GB2312" w:hAnsi="仿宋" w:cs="仿宋"/>
          <w:sz w:val="32"/>
          <w:szCs w:val="32"/>
        </w:rPr>
        <w:t>间</w:t>
      </w:r>
      <w:r>
        <w:rPr>
          <w:rFonts w:ascii="仿宋_GB2312" w:eastAsia="仿宋_GB2312" w:hAnsi="仿宋" w:cs="仿宋" w:hint="eastAsia"/>
          <w:sz w:val="32"/>
          <w:szCs w:val="32"/>
        </w:rPr>
        <w:t>四周</w:t>
      </w:r>
      <w:r>
        <w:rPr>
          <w:rFonts w:ascii="仿宋_GB2312" w:eastAsia="仿宋_GB2312" w:hAnsi="仿宋" w:cs="仿宋"/>
          <w:sz w:val="32"/>
          <w:szCs w:val="32"/>
        </w:rPr>
        <w:t>设置废水</w:t>
      </w:r>
      <w:r>
        <w:rPr>
          <w:rFonts w:ascii="仿宋_GB2312" w:eastAsia="仿宋_GB2312" w:hAnsi="仿宋" w:cs="仿宋" w:hint="eastAsia"/>
          <w:sz w:val="32"/>
          <w:szCs w:val="32"/>
        </w:rPr>
        <w:t>收集</w:t>
      </w:r>
      <w:r>
        <w:rPr>
          <w:rFonts w:ascii="仿宋_GB2312" w:eastAsia="仿宋_GB2312" w:hAnsi="仿宋" w:cs="仿宋"/>
          <w:sz w:val="32"/>
          <w:szCs w:val="32"/>
        </w:rPr>
        <w:t>管</w:t>
      </w:r>
      <w:r>
        <w:rPr>
          <w:rFonts w:ascii="仿宋_GB2312" w:eastAsia="仿宋_GB2312" w:hAnsi="仿宋" w:cs="仿宋" w:hint="eastAsia"/>
          <w:sz w:val="32"/>
          <w:szCs w:val="32"/>
        </w:rPr>
        <w:t>并与事故应急</w:t>
      </w:r>
      <w:proofErr w:type="gramStart"/>
      <w:r>
        <w:rPr>
          <w:rFonts w:ascii="仿宋_GB2312" w:eastAsia="仿宋_GB2312" w:hAnsi="仿宋" w:cs="仿宋" w:hint="eastAsia"/>
          <w:sz w:val="32"/>
          <w:szCs w:val="32"/>
        </w:rPr>
        <w:t>池保持</w:t>
      </w:r>
      <w:proofErr w:type="gramEnd"/>
      <w:r>
        <w:rPr>
          <w:rFonts w:ascii="仿宋_GB2312" w:eastAsia="仿宋_GB2312" w:hAnsi="仿宋" w:cs="仿宋" w:hint="eastAsia"/>
          <w:sz w:val="32"/>
          <w:szCs w:val="32"/>
        </w:rPr>
        <w:t>联通，</w:t>
      </w:r>
      <w:r>
        <w:rPr>
          <w:rFonts w:ascii="仿宋_GB2312" w:eastAsia="仿宋_GB2312" w:hint="eastAsia"/>
          <w:sz w:val="32"/>
          <w:szCs w:val="32"/>
        </w:rPr>
        <w:t>确保发生事故时</w:t>
      </w:r>
      <w:r>
        <w:rPr>
          <w:rFonts w:ascii="仿宋_GB2312" w:eastAsia="仿宋_GB2312" w:hAnsi="仿宋" w:cs="仿宋" w:hint="eastAsia"/>
          <w:sz w:val="32"/>
          <w:szCs w:val="32"/>
        </w:rPr>
        <w:t>全厂的消防废水和事故废水</w:t>
      </w:r>
      <w:r>
        <w:rPr>
          <w:rFonts w:ascii="仿宋_GB2312" w:eastAsia="仿宋_GB2312" w:hint="eastAsia"/>
          <w:sz w:val="32"/>
          <w:szCs w:val="32"/>
        </w:rPr>
        <w:t>能集中收集经妥善处理达标后排放。</w:t>
      </w:r>
      <w:r>
        <w:rPr>
          <w:rFonts w:ascii="仿宋_GB2312" w:eastAsia="仿宋_GB2312" w:hAnsi="仿宋" w:cs="仿宋" w:hint="eastAsia"/>
          <w:sz w:val="32"/>
          <w:szCs w:val="32"/>
        </w:rPr>
        <w:t>强化事故废水、废气应急处理措施，确保发生设备故障或生产事故时所产生的废水、废气等得到有效控制。</w:t>
      </w:r>
    </w:p>
    <w:p w14:paraId="2EEB10C3" w14:textId="77777777" w:rsidR="00E4310D" w:rsidRDefault="00000000">
      <w:pPr>
        <w:spacing w:line="560" w:lineRule="exact"/>
        <w:ind w:firstLineChars="200" w:firstLine="640"/>
        <w:rPr>
          <w:rFonts w:ascii="仿宋_GB2312" w:eastAsia="仿宋_GB2312" w:hAnsi="Times New Roman"/>
          <w:bCs/>
          <w:sz w:val="32"/>
        </w:rPr>
      </w:pPr>
      <w:r>
        <w:rPr>
          <w:rFonts w:ascii="仿宋_GB2312" w:eastAsia="仿宋_GB2312" w:hint="eastAsia"/>
          <w:sz w:val="32"/>
          <w:szCs w:val="32"/>
        </w:rPr>
        <w:t>(六)</w:t>
      </w:r>
      <w:r>
        <w:rPr>
          <w:rFonts w:ascii="仿宋_GB2312" w:eastAsia="仿宋_GB2312" w:hAnsi="仿宋" w:cs="仿宋" w:hint="eastAsia"/>
          <w:sz w:val="32"/>
          <w:szCs w:val="32"/>
        </w:rPr>
        <w:t>按照《排污单位自行监测技术指南 总则》</w:t>
      </w:r>
      <w:r>
        <w:rPr>
          <w:rFonts w:ascii="仿宋_GB2312" w:eastAsia="仿宋_GB2312" w:hAnsi="Times New Roman" w:hint="eastAsia"/>
          <w:sz w:val="32"/>
          <w:szCs w:val="32"/>
        </w:rPr>
        <w:t>（HJ819-2017）</w:t>
      </w:r>
      <w:r>
        <w:rPr>
          <w:rFonts w:ascii="仿宋_GB2312" w:eastAsia="仿宋_GB2312" w:hAnsi="仿宋" w:cs="仿宋" w:hint="eastAsia"/>
          <w:sz w:val="32"/>
          <w:szCs w:val="32"/>
        </w:rPr>
        <w:t>等规定，</w:t>
      </w:r>
      <w:r>
        <w:rPr>
          <w:rFonts w:ascii="仿宋_GB2312" w:eastAsia="仿宋_GB2312" w:hAnsi="仿宋_GB2312" w:cs="仿宋_GB2312" w:hint="eastAsia"/>
          <w:sz w:val="32"/>
          <w:szCs w:val="32"/>
        </w:rPr>
        <w:t>落实《报告书》提出的监测计划，</w:t>
      </w:r>
      <w:r>
        <w:rPr>
          <w:rFonts w:ascii="仿宋_GB2312" w:eastAsia="仿宋_GB2312" w:hAnsi="仿宋" w:cs="仿宋" w:hint="eastAsia"/>
          <w:sz w:val="32"/>
          <w:szCs w:val="32"/>
        </w:rPr>
        <w:t>做好</w:t>
      </w:r>
      <w:proofErr w:type="gramStart"/>
      <w:r>
        <w:rPr>
          <w:rFonts w:ascii="仿宋_GB2312" w:eastAsia="仿宋_GB2312" w:hAnsi="仿宋" w:cs="仿宋" w:hint="eastAsia"/>
          <w:sz w:val="32"/>
          <w:szCs w:val="32"/>
        </w:rPr>
        <w:t>各类原辅</w:t>
      </w:r>
      <w:proofErr w:type="gramEnd"/>
      <w:r>
        <w:rPr>
          <w:rFonts w:ascii="仿宋_GB2312" w:eastAsia="仿宋_GB2312" w:hAnsi="仿宋" w:cs="仿宋" w:hint="eastAsia"/>
          <w:sz w:val="32"/>
          <w:szCs w:val="32"/>
        </w:rPr>
        <w:t>材料消耗量、危险固</w:t>
      </w:r>
      <w:proofErr w:type="gramStart"/>
      <w:r>
        <w:rPr>
          <w:rFonts w:ascii="仿宋_GB2312" w:eastAsia="仿宋_GB2312" w:hAnsi="仿宋" w:cs="仿宋" w:hint="eastAsia"/>
          <w:sz w:val="32"/>
          <w:szCs w:val="32"/>
        </w:rPr>
        <w:t>废产生</w:t>
      </w:r>
      <w:proofErr w:type="gramEnd"/>
      <w:r>
        <w:rPr>
          <w:rFonts w:ascii="仿宋_GB2312" w:eastAsia="仿宋_GB2312" w:hAnsi="仿宋" w:cs="仿宋" w:hint="eastAsia"/>
          <w:sz w:val="32"/>
          <w:szCs w:val="32"/>
        </w:rPr>
        <w:t>量、废水、废气污染物排放量、</w:t>
      </w:r>
      <w:r>
        <w:rPr>
          <w:rFonts w:ascii="仿宋_GB2312" w:eastAsia="仿宋_GB2312" w:hAnsi="仿宋" w:cs="仿宋"/>
          <w:sz w:val="32"/>
          <w:szCs w:val="32"/>
        </w:rPr>
        <w:t>污染物</w:t>
      </w:r>
      <w:r>
        <w:rPr>
          <w:rFonts w:ascii="仿宋_GB2312" w:eastAsia="仿宋_GB2312" w:hAnsi="仿宋" w:cs="仿宋" w:hint="eastAsia"/>
          <w:sz w:val="32"/>
          <w:szCs w:val="32"/>
        </w:rPr>
        <w:t>监测、设备运行等台账记录。按要求设置地下水监测井，</w:t>
      </w:r>
      <w:r>
        <w:rPr>
          <w:rFonts w:ascii="仿宋_GB2312" w:eastAsia="仿宋_GB2312" w:hAnsi="仿宋" w:cs="仿宋" w:hint="eastAsia"/>
          <w:sz w:val="32"/>
          <w:szCs w:val="32"/>
        </w:rPr>
        <w:lastRenderedPageBreak/>
        <w:t>定期检查所有涉污场地防渗的可靠性，防止地下水和土壤污染。</w:t>
      </w:r>
    </w:p>
    <w:p w14:paraId="0AEEE3BB" w14:textId="77777777" w:rsidR="00E4310D" w:rsidRDefault="00000000">
      <w:pPr>
        <w:spacing w:line="560" w:lineRule="exact"/>
        <w:ind w:firstLineChars="200" w:firstLine="640"/>
        <w:rPr>
          <w:rFonts w:ascii="Times New Roman" w:eastAsia="仿宋_GB2312" w:hAnsi="Times New Roman"/>
          <w:bCs/>
          <w:sz w:val="32"/>
        </w:rPr>
      </w:pPr>
      <w:r>
        <w:rPr>
          <w:rFonts w:ascii="仿宋_GB2312" w:eastAsia="仿宋_GB2312" w:hint="eastAsia"/>
          <w:sz w:val="32"/>
          <w:szCs w:val="32"/>
        </w:rPr>
        <w:t>四、</w:t>
      </w:r>
      <w:r>
        <w:rPr>
          <w:rFonts w:ascii="仿宋_GB2312" w:eastAsia="仿宋_GB2312" w:hAnsi="仿宋" w:cs="仿宋" w:hint="eastAsia"/>
          <w:sz w:val="32"/>
          <w:szCs w:val="32"/>
        </w:rPr>
        <w:t>依据《报告书》，该项目主要污染物排放总量指标：化学需氧量为</w:t>
      </w:r>
      <w:r>
        <w:rPr>
          <w:rFonts w:ascii="仿宋_GB2312" w:eastAsia="仿宋_GB2312" w:hAnsi="Times New Roman" w:hint="eastAsia"/>
          <w:bCs/>
          <w:sz w:val="32"/>
        </w:rPr>
        <w:t>0.0</w:t>
      </w:r>
      <w:r>
        <w:rPr>
          <w:rFonts w:ascii="仿宋_GB2312" w:eastAsia="仿宋_GB2312" w:hAnsi="Times New Roman"/>
          <w:bCs/>
          <w:sz w:val="32"/>
        </w:rPr>
        <w:t>18</w:t>
      </w:r>
      <w:r>
        <w:rPr>
          <w:rFonts w:ascii="仿宋_GB2312" w:eastAsia="仿宋_GB2312" w:hAnsi="Times New Roman" w:hint="eastAsia"/>
          <w:sz w:val="32"/>
          <w:szCs w:val="32"/>
        </w:rPr>
        <w:t>吨/年</w:t>
      </w:r>
      <w:r>
        <w:rPr>
          <w:rFonts w:ascii="仿宋_GB2312" w:eastAsia="仿宋_GB2312" w:hAnsi="仿宋" w:cs="仿宋" w:hint="eastAsia"/>
          <w:sz w:val="32"/>
          <w:szCs w:val="32"/>
        </w:rPr>
        <w:t>、氨氮为</w:t>
      </w:r>
      <w:r>
        <w:rPr>
          <w:rFonts w:ascii="仿宋_GB2312" w:eastAsia="仿宋_GB2312" w:hAnsi="Times New Roman" w:hint="eastAsia"/>
          <w:bCs/>
          <w:sz w:val="32"/>
        </w:rPr>
        <w:t>0.00</w:t>
      </w:r>
      <w:r>
        <w:rPr>
          <w:rFonts w:ascii="仿宋_GB2312" w:eastAsia="仿宋_GB2312" w:hAnsi="Times New Roman"/>
          <w:bCs/>
          <w:sz w:val="32"/>
        </w:rPr>
        <w:t>2</w:t>
      </w:r>
      <w:r>
        <w:rPr>
          <w:rFonts w:ascii="仿宋_GB2312" w:eastAsia="仿宋_GB2312" w:hAnsi="Times New Roman" w:hint="eastAsia"/>
          <w:sz w:val="32"/>
          <w:szCs w:val="32"/>
        </w:rPr>
        <w:t>吨/年</w:t>
      </w:r>
      <w:r>
        <w:rPr>
          <w:rFonts w:ascii="仿宋_GB2312" w:eastAsia="仿宋_GB2312" w:hAnsi="仿宋" w:cs="仿宋" w:hint="eastAsia"/>
          <w:sz w:val="32"/>
          <w:szCs w:val="32"/>
        </w:rPr>
        <w:t>；</w:t>
      </w:r>
      <w:r>
        <w:rPr>
          <w:rFonts w:ascii="仿宋_GB2312" w:eastAsia="仿宋_GB2312" w:hAnsi="Times New Roman" w:hint="eastAsia"/>
          <w:sz w:val="32"/>
          <w:szCs w:val="32"/>
        </w:rPr>
        <w:t>VOCs</w:t>
      </w:r>
      <w:r>
        <w:rPr>
          <w:rFonts w:ascii="仿宋_GB2312" w:eastAsia="仿宋_GB2312" w:hAnsi="Times New Roman" w:hint="eastAsia"/>
          <w:bCs/>
          <w:sz w:val="32"/>
        </w:rPr>
        <w:t>0.8</w:t>
      </w:r>
      <w:r>
        <w:rPr>
          <w:rFonts w:ascii="仿宋_GB2312" w:eastAsia="仿宋_GB2312" w:hAnsi="Times New Roman"/>
          <w:bCs/>
          <w:sz w:val="32"/>
        </w:rPr>
        <w:t>67</w:t>
      </w:r>
      <w:r>
        <w:rPr>
          <w:rFonts w:ascii="仿宋_GB2312" w:eastAsia="仿宋_GB2312" w:hAnsi="Times New Roman" w:hint="eastAsia"/>
          <w:bCs/>
          <w:sz w:val="32"/>
        </w:rPr>
        <w:t>8</w:t>
      </w:r>
      <w:r>
        <w:rPr>
          <w:rFonts w:ascii="仿宋_GB2312" w:eastAsia="仿宋_GB2312" w:hAnsi="Times New Roman" w:hint="eastAsia"/>
          <w:sz w:val="32"/>
          <w:szCs w:val="32"/>
        </w:rPr>
        <w:t>吨/年</w:t>
      </w:r>
      <w:r>
        <w:rPr>
          <w:rFonts w:ascii="仿宋_GB2312" w:eastAsia="仿宋_GB2312" w:hAnsi="仿宋" w:cs="仿宋" w:hint="eastAsia"/>
          <w:sz w:val="32"/>
          <w:szCs w:val="32"/>
        </w:rPr>
        <w:t>。</w:t>
      </w:r>
      <w:r>
        <w:rPr>
          <w:rFonts w:ascii="Times New Roman" w:eastAsia="仿宋_GB2312" w:hAnsi="Times New Roman"/>
          <w:bCs/>
          <w:sz w:val="32"/>
        </w:rPr>
        <w:t>建设单位在投产之前，需提交经属地生态环境部门、市生态环境局大气科认定的新增污染物总量削减替代方案及落实情况证明材料，并依法取得排污许可证。</w:t>
      </w:r>
    </w:p>
    <w:p w14:paraId="09A33D13" w14:textId="77777777" w:rsidR="00E4310D" w:rsidRDefault="00000000">
      <w:pPr>
        <w:spacing w:line="560" w:lineRule="exact"/>
        <w:ind w:firstLineChars="200" w:firstLine="640"/>
        <w:rPr>
          <w:rFonts w:ascii="仿宋_GB2312" w:eastAsia="仿宋_GB2312" w:hAnsi="仿宋" w:cs="仿宋" w:hint="eastAsia"/>
          <w:sz w:val="32"/>
          <w:szCs w:val="32"/>
        </w:rPr>
      </w:pPr>
      <w:r>
        <w:rPr>
          <w:rFonts w:ascii="仿宋_GB2312" w:eastAsia="仿宋_GB2312" w:hAnsi="仿宋" w:cs="仿宋" w:hint="eastAsia"/>
          <w:sz w:val="32"/>
          <w:szCs w:val="32"/>
        </w:rPr>
        <w:t>五</w:t>
      </w:r>
      <w:r>
        <w:rPr>
          <w:rFonts w:ascii="仿宋_GB2312" w:eastAsia="仿宋_GB2312" w:hint="eastAsia"/>
          <w:sz w:val="32"/>
          <w:szCs w:val="32"/>
        </w:rPr>
        <w:t>、</w:t>
      </w:r>
      <w:r>
        <w:rPr>
          <w:rFonts w:ascii="仿宋_GB2312" w:eastAsia="仿宋_GB2312" w:hAnsi="仿宋" w:cs="仿宋" w:hint="eastAsia"/>
          <w:sz w:val="32"/>
          <w:szCs w:val="32"/>
        </w:rPr>
        <w:t>《报告书》经批准后，建设项目若发生重大变动，应重新向我局报批环境影响评价文件；或自批准之日起超过五年，方决定建设项目开工建设的，其环境影响评价文件应报我局重新审核。</w:t>
      </w:r>
    </w:p>
    <w:p w14:paraId="566AC7F6" w14:textId="77777777" w:rsidR="00E4310D" w:rsidRDefault="00000000">
      <w:pPr>
        <w:spacing w:line="560" w:lineRule="exact"/>
        <w:ind w:firstLineChars="200" w:firstLine="640"/>
        <w:rPr>
          <w:rFonts w:ascii="仿宋_GB2312" w:eastAsia="仿宋_GB2312" w:hAnsi="仿宋" w:cs="仿宋" w:hint="eastAsia"/>
          <w:sz w:val="32"/>
          <w:szCs w:val="32"/>
        </w:rPr>
      </w:pPr>
      <w:r>
        <w:rPr>
          <w:rFonts w:ascii="仿宋_GB2312" w:eastAsia="仿宋_GB2312" w:hAnsi="仿宋" w:cs="仿宋" w:hint="eastAsia"/>
          <w:sz w:val="32"/>
          <w:szCs w:val="32"/>
        </w:rPr>
        <w:t>六、</w:t>
      </w:r>
      <w:r>
        <w:rPr>
          <w:rFonts w:ascii="仿宋_GB2312" w:eastAsia="仿宋_GB2312" w:hAnsi="仿宋" w:cs="仿宋"/>
          <w:sz w:val="32"/>
          <w:szCs w:val="32"/>
        </w:rPr>
        <w:t>该项目</w:t>
      </w:r>
      <w:r>
        <w:rPr>
          <w:rFonts w:ascii="仿宋_GB2312" w:eastAsia="仿宋_GB2312" w:hAnsi="仿宋" w:cs="仿宋" w:hint="eastAsia"/>
          <w:sz w:val="32"/>
          <w:szCs w:val="32"/>
        </w:rPr>
        <w:t>在启动生产设施或在实际排污之前应当向我局申请变更排污许可证，项目建成后对配套建设的环境保护设施组织验收，编制验收报告并依法向社会公开。</w:t>
      </w:r>
    </w:p>
    <w:p w14:paraId="5985FBD6" w14:textId="77777777" w:rsidR="00E4310D" w:rsidRDefault="00000000">
      <w:pPr>
        <w:spacing w:line="560" w:lineRule="exact"/>
        <w:ind w:firstLineChars="200" w:firstLine="640"/>
        <w:rPr>
          <w:rFonts w:ascii="仿宋_GB2312" w:eastAsia="仿宋_GB2312" w:hAnsi="仿宋" w:cs="仿宋" w:hint="eastAsia"/>
          <w:sz w:val="32"/>
          <w:szCs w:val="32"/>
        </w:rPr>
      </w:pPr>
      <w:r>
        <w:rPr>
          <w:rFonts w:ascii="仿宋_GB2312" w:eastAsia="仿宋_GB2312" w:hAnsi="仿宋" w:cs="仿宋"/>
          <w:sz w:val="32"/>
          <w:szCs w:val="32"/>
        </w:rPr>
        <w:t>七</w:t>
      </w:r>
      <w:r>
        <w:rPr>
          <w:rFonts w:ascii="仿宋_GB2312" w:eastAsia="仿宋_GB2312" w:hAnsi="仿宋" w:cs="仿宋" w:hint="eastAsia"/>
          <w:sz w:val="32"/>
          <w:szCs w:val="32"/>
        </w:rPr>
        <w:t>、该项目的环境保护“三同时”监督检查及日常环境管理工作按属地管理原则由常德市生态环境局汉寿分局具体负责。</w:t>
      </w:r>
    </w:p>
    <w:p w14:paraId="041B27EC" w14:textId="77777777" w:rsidR="00E4310D" w:rsidRDefault="00E4310D">
      <w:pPr>
        <w:spacing w:line="560" w:lineRule="exact"/>
        <w:ind w:firstLineChars="200" w:firstLine="600"/>
        <w:rPr>
          <w:rFonts w:ascii="仿宋_GB2312" w:eastAsia="仿宋_GB2312"/>
          <w:spacing w:val="-10"/>
          <w:sz w:val="32"/>
          <w:szCs w:val="32"/>
        </w:rPr>
      </w:pPr>
    </w:p>
    <w:p w14:paraId="20D740C8" w14:textId="77777777" w:rsidR="00E4310D" w:rsidRDefault="00E4310D">
      <w:pPr>
        <w:spacing w:line="560" w:lineRule="exact"/>
        <w:ind w:firstLineChars="200" w:firstLine="640"/>
        <w:rPr>
          <w:rFonts w:ascii="仿宋_GB2312" w:eastAsia="仿宋_GB2312"/>
          <w:sz w:val="32"/>
          <w:szCs w:val="32"/>
        </w:rPr>
      </w:pPr>
    </w:p>
    <w:p w14:paraId="7CDD0D66" w14:textId="77777777" w:rsidR="00E4310D" w:rsidRDefault="00E4310D">
      <w:pPr>
        <w:spacing w:line="560" w:lineRule="exact"/>
        <w:ind w:firstLineChars="200" w:firstLine="640"/>
        <w:rPr>
          <w:rFonts w:ascii="仿宋_GB2312" w:eastAsia="仿宋_GB2312"/>
          <w:sz w:val="32"/>
          <w:szCs w:val="32"/>
        </w:rPr>
      </w:pPr>
    </w:p>
    <w:p w14:paraId="4757EC9A" w14:textId="77777777" w:rsidR="00E4310D" w:rsidRDefault="00000000">
      <w:pPr>
        <w:tabs>
          <w:tab w:val="left" w:pos="605"/>
          <w:tab w:val="left" w:pos="7560"/>
        </w:tabs>
        <w:spacing w:line="560" w:lineRule="exact"/>
        <w:ind w:firstLineChars="200" w:firstLine="640"/>
        <w:rPr>
          <w:rFonts w:ascii="仿宋_GB2312" w:eastAsia="仿宋_GB2312"/>
          <w:sz w:val="32"/>
          <w:szCs w:val="32"/>
        </w:rPr>
      </w:pPr>
      <w:r>
        <w:rPr>
          <w:rFonts w:ascii="仿宋_GB2312" w:eastAsia="仿宋_GB2312" w:hint="eastAsia"/>
          <w:sz w:val="32"/>
          <w:szCs w:val="32"/>
        </w:rPr>
        <w:t xml:space="preserve">                           常德市生态环境局</w:t>
      </w:r>
    </w:p>
    <w:p w14:paraId="131CB52D" w14:textId="77777777" w:rsidR="00E4310D" w:rsidRDefault="00000000">
      <w:pPr>
        <w:spacing w:line="560" w:lineRule="exact"/>
        <w:ind w:firstLineChars="1600" w:firstLine="5120"/>
        <w:rPr>
          <w:rFonts w:ascii="仿宋_GB2312" w:eastAsia="仿宋_GB2312"/>
          <w:sz w:val="32"/>
          <w:szCs w:val="32"/>
        </w:rPr>
      </w:pPr>
      <w:r>
        <w:rPr>
          <w:rFonts w:ascii="仿宋_GB2312" w:eastAsia="仿宋_GB2312" w:hint="eastAsia"/>
          <w:sz w:val="32"/>
          <w:szCs w:val="32"/>
        </w:rPr>
        <w:t>202</w:t>
      </w:r>
      <w:r>
        <w:rPr>
          <w:rFonts w:ascii="仿宋_GB2312" w:eastAsia="仿宋_GB2312"/>
          <w:sz w:val="32"/>
          <w:szCs w:val="32"/>
        </w:rPr>
        <w:t>6</w:t>
      </w:r>
      <w:r>
        <w:rPr>
          <w:rFonts w:ascii="仿宋_GB2312" w:eastAsia="仿宋_GB2312" w:hint="eastAsia"/>
          <w:sz w:val="32"/>
          <w:szCs w:val="32"/>
        </w:rPr>
        <w:t>年</w:t>
      </w:r>
      <w:r>
        <w:rPr>
          <w:rFonts w:ascii="仿宋_GB2312" w:eastAsia="仿宋_GB2312"/>
          <w:sz w:val="32"/>
          <w:szCs w:val="32"/>
        </w:rPr>
        <w:t>5</w:t>
      </w:r>
      <w:r>
        <w:rPr>
          <w:rFonts w:ascii="仿宋_GB2312" w:eastAsia="仿宋_GB2312" w:hint="eastAsia"/>
          <w:sz w:val="32"/>
          <w:szCs w:val="32"/>
        </w:rPr>
        <w:t>月</w:t>
      </w:r>
      <w:r>
        <w:rPr>
          <w:rFonts w:ascii="仿宋_GB2312" w:eastAsia="仿宋_GB2312"/>
          <w:sz w:val="32"/>
          <w:szCs w:val="32"/>
        </w:rPr>
        <w:t>14</w:t>
      </w:r>
      <w:r>
        <w:rPr>
          <w:rFonts w:ascii="仿宋_GB2312" w:eastAsia="仿宋_GB2312" w:hint="eastAsia"/>
          <w:sz w:val="32"/>
          <w:szCs w:val="32"/>
        </w:rPr>
        <w:t>日</w:t>
      </w:r>
    </w:p>
    <w:p w14:paraId="4F5F4209" w14:textId="77777777" w:rsidR="00E4310D" w:rsidRDefault="00E4310D">
      <w:pPr>
        <w:pStyle w:val="3"/>
      </w:pPr>
    </w:p>
    <w:p w14:paraId="14752013" w14:textId="77777777" w:rsidR="00E4310D" w:rsidRDefault="00000000">
      <w:pPr>
        <w:pBdr>
          <w:top w:val="single" w:sz="4" w:space="1" w:color="auto"/>
          <w:bottom w:val="single" w:sz="4" w:space="1" w:color="auto"/>
        </w:pBdr>
        <w:spacing w:line="560" w:lineRule="exact"/>
        <w:rPr>
          <w:rFonts w:ascii="仿宋_GB2312" w:eastAsia="仿宋_GB2312" w:hAnsi="仿宋" w:cs="仿宋" w:hint="eastAsia"/>
          <w:sz w:val="28"/>
          <w:szCs w:val="28"/>
        </w:rPr>
      </w:pPr>
      <w:r>
        <w:rPr>
          <w:rFonts w:ascii="仿宋_GB2312" w:eastAsia="仿宋_GB2312" w:hAnsi="黑体" w:cs="黑体" w:hint="eastAsia"/>
          <w:sz w:val="28"/>
          <w:szCs w:val="28"/>
        </w:rPr>
        <w:t>抄送：</w:t>
      </w:r>
      <w:r>
        <w:rPr>
          <w:rFonts w:ascii="仿宋_GB2312" w:eastAsia="仿宋_GB2312" w:hAnsi="黑体" w:cs="黑体"/>
          <w:sz w:val="28"/>
          <w:szCs w:val="28"/>
        </w:rPr>
        <w:t>湖南汉寿高新技术产业园区管理管委会、</w:t>
      </w:r>
      <w:r>
        <w:rPr>
          <w:rFonts w:ascii="仿宋_GB2312" w:eastAsia="仿宋_GB2312" w:hAnsi="仿宋" w:cs="仿宋" w:hint="eastAsia"/>
          <w:sz w:val="28"/>
          <w:szCs w:val="28"/>
        </w:rPr>
        <w:t>常德市生态环境局汉寿分局、</w:t>
      </w:r>
      <w:r>
        <w:rPr>
          <w:rFonts w:ascii="仿宋_GB2312" w:eastAsia="仿宋_GB2312" w:hAnsi="仿宋_GB2312" w:cs="仿宋_GB2312" w:hint="eastAsia"/>
          <w:kern w:val="0"/>
          <w:sz w:val="28"/>
          <w:szCs w:val="28"/>
        </w:rPr>
        <w:t>常德市生态环境事务中心、</w:t>
      </w:r>
      <w:r>
        <w:rPr>
          <w:rFonts w:ascii="仿宋_GB2312" w:eastAsia="仿宋_GB2312" w:hAnsi="仿宋" w:cs="仿宋" w:hint="eastAsia"/>
          <w:sz w:val="28"/>
          <w:szCs w:val="28"/>
        </w:rPr>
        <w:t>湖南创景天成环境科技有限公司</w:t>
      </w:r>
    </w:p>
    <w:p w14:paraId="6C5C3358" w14:textId="77777777" w:rsidR="00E4310D" w:rsidRDefault="00E4310D"/>
    <w:sectPr w:rsidR="00E4310D">
      <w:footerReference w:type="even" r:id="rId8"/>
      <w:footerReference w:type="default" r:id="rId9"/>
      <w:pgSz w:w="11906" w:h="16838"/>
      <w:pgMar w:top="2098" w:right="1474" w:bottom="1701" w:left="1588" w:header="851" w:footer="992" w:gutter="0"/>
      <w:pgNumType w:fmt="numberInDash"/>
      <w:cols w:space="720"/>
      <w:titlePg/>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639972" w14:textId="77777777" w:rsidR="00C234DF" w:rsidRDefault="00C234DF">
      <w:r>
        <w:separator/>
      </w:r>
    </w:p>
  </w:endnote>
  <w:endnote w:type="continuationSeparator" w:id="0">
    <w:p w14:paraId="7F1A08F9" w14:textId="77777777" w:rsidR="00C234DF" w:rsidRDefault="00C234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Lucida Sans">
    <w:altName w:val="DejaVu Sans"/>
    <w:charset w:val="00"/>
    <w:family w:val="swiss"/>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Courier New">
    <w:panose1 w:val="02070309020205020404"/>
    <w:charset w:val="00"/>
    <w:family w:val="modern"/>
    <w:pitch w:val="fixed"/>
    <w:sig w:usb0="E0002EFF" w:usb1="C0007843" w:usb2="00000009" w:usb3="00000000" w:csb0="000001FF" w:csb1="00000000"/>
  </w:font>
  <w:font w:name="仿宋_GB2312">
    <w:altName w:val="仿宋"/>
    <w:panose1 w:val="02010609030101010101"/>
    <w:charset w:val="86"/>
    <w:family w:val="modern"/>
    <w:pitch w:val="fixed"/>
    <w:sig w:usb0="00000001" w:usb1="080E0000" w:usb2="00000010" w:usb3="00000000" w:csb0="00040000" w:csb1="00000000"/>
  </w:font>
  <w:font w:name="楷体_GB2312">
    <w:altName w:val="楷体"/>
    <w:panose1 w:val="02010609030101010101"/>
    <w:charset w:val="86"/>
    <w:family w:val="modern"/>
    <w:pitch w:val="fixed"/>
    <w:sig w:usb0="00000001" w:usb1="080E0000" w:usb2="00000010" w:usb3="00000000" w:csb0="00040000" w:csb1="00000000"/>
  </w:font>
  <w:font w:name="方正小标宋简体">
    <w:panose1 w:val="02010601030101010101"/>
    <w:charset w:val="86"/>
    <w:family w:val="auto"/>
    <w:pitch w:val="variable"/>
    <w:sig w:usb0="00000001" w:usb1="080E0000" w:usb2="00000010" w:usb3="00000000" w:csb0="00040000"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4BA282" w14:textId="77777777" w:rsidR="00E4310D" w:rsidRDefault="00000000">
    <w:pPr>
      <w:pStyle w:val="a3"/>
      <w:framePr w:wrap="around" w:vAnchor="text" w:hAnchor="margin" w:xAlign="outside" w:y="1"/>
      <w:rPr>
        <w:rStyle w:val="a4"/>
      </w:rPr>
    </w:pPr>
    <w:r>
      <w:rPr>
        <w:rStyle w:val="a4"/>
      </w:rPr>
      <w:fldChar w:fldCharType="begin"/>
    </w:r>
    <w:r>
      <w:rPr>
        <w:rStyle w:val="a4"/>
      </w:rPr>
      <w:instrText xml:space="preserve">PAGE  </w:instrText>
    </w:r>
    <w:r>
      <w:rPr>
        <w:rStyle w:val="a4"/>
      </w:rPr>
      <w:fldChar w:fldCharType="separate"/>
    </w:r>
    <w:r>
      <w:rPr>
        <w:rStyle w:val="a4"/>
      </w:rPr>
      <w:t xml:space="preserve"> </w:t>
    </w:r>
    <w:r>
      <w:rPr>
        <w:rStyle w:val="a4"/>
      </w:rPr>
      <w:fldChar w:fldCharType="end"/>
    </w:r>
  </w:p>
  <w:p w14:paraId="2AA5F4FF" w14:textId="77777777" w:rsidR="00E4310D" w:rsidRDefault="00E4310D">
    <w:pPr>
      <w:pStyle w:val="a3"/>
      <w:ind w:right="360"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9393F7" w14:textId="77777777" w:rsidR="00E4310D" w:rsidRDefault="00000000">
    <w:pPr>
      <w:pStyle w:val="a3"/>
      <w:framePr w:wrap="around" w:vAnchor="text" w:hAnchor="margin" w:xAlign="outside" w:y="1"/>
      <w:rPr>
        <w:rStyle w:val="a4"/>
      </w:rPr>
    </w:pPr>
    <w:r>
      <w:rPr>
        <w:rStyle w:val="a4"/>
      </w:rPr>
      <w:fldChar w:fldCharType="begin"/>
    </w:r>
    <w:r>
      <w:rPr>
        <w:rStyle w:val="a4"/>
      </w:rPr>
      <w:instrText xml:space="preserve">PAGE  </w:instrText>
    </w:r>
    <w:r>
      <w:rPr>
        <w:rStyle w:val="a4"/>
      </w:rPr>
      <w:fldChar w:fldCharType="separate"/>
    </w:r>
    <w:r>
      <w:rPr>
        <w:rStyle w:val="a4"/>
      </w:rPr>
      <w:t>- 2 -</w:t>
    </w:r>
    <w:r>
      <w:rPr>
        <w:rStyle w:val="a4"/>
      </w:rPr>
      <w:fldChar w:fldCharType="end"/>
    </w:r>
  </w:p>
  <w:p w14:paraId="1EA01A16" w14:textId="77777777" w:rsidR="00E4310D" w:rsidRDefault="00E4310D">
    <w:pPr>
      <w:pStyle w:val="a3"/>
      <w:ind w:right="360" w:firstLine="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98276B" w14:textId="77777777" w:rsidR="00C234DF" w:rsidRDefault="00C234DF">
      <w:r>
        <w:separator/>
      </w:r>
    </w:p>
  </w:footnote>
  <w:footnote w:type="continuationSeparator" w:id="0">
    <w:p w14:paraId="3131DF46" w14:textId="77777777" w:rsidR="00C234DF" w:rsidRDefault="00C234D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34EA6AD"/>
    <w:multiLevelType w:val="singleLevel"/>
    <w:tmpl w:val="234EA6AD"/>
    <w:lvl w:ilvl="0">
      <w:start w:val="1"/>
      <w:numFmt w:val="chineseCounting"/>
      <w:lvlRestart w:val="0"/>
      <w:suff w:val="nothing"/>
      <w:lvlText w:val="%1、"/>
      <w:lvlJc w:val="left"/>
      <w:rPr>
        <w:rFonts w:hint="eastAsia"/>
      </w:rPr>
    </w:lvl>
  </w:abstractNum>
  <w:abstractNum w:abstractNumId="1" w15:restartNumberingAfterBreak="0">
    <w:nsid w:val="5FFA9743"/>
    <w:multiLevelType w:val="singleLevel"/>
    <w:tmpl w:val="5FFA9743"/>
    <w:lvl w:ilvl="0">
      <w:start w:val="2"/>
      <w:numFmt w:val="chineseCounting"/>
      <w:lvlRestart w:val="0"/>
      <w:lvlText w:val="(%1)"/>
      <w:lvlJc w:val="left"/>
      <w:pPr>
        <w:tabs>
          <w:tab w:val="num" w:pos="312"/>
        </w:tabs>
      </w:pPr>
      <w:rPr>
        <w:rFonts w:hint="eastAsia"/>
      </w:rPr>
    </w:lvl>
  </w:abstractNum>
  <w:num w:numId="1" w16cid:durableId="332488602">
    <w:abstractNumId w:val="0"/>
  </w:num>
  <w:num w:numId="2" w16cid:durableId="149980934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displayBackgroundShape/>
  <w:bordersDoNotSurroundHeader/>
  <w:bordersDoNotSurroundFooter/>
  <w:proofState w:spelling="clean" w:grammar="clean"/>
  <w:defaultTabStop w:val="420"/>
  <w:drawingGridHorizontalSpacing w:val="105"/>
  <w:drawingGridVerticalSpacing w:val="156"/>
  <w:displayHorizontalDrawingGridEvery w:val="0"/>
  <w:displayVerticalDrawingGridEvery w:val="2"/>
  <w:noPunctuationKerning/>
  <w:characterSpacingControl w:val="doNotCompress"/>
  <w:noLineBreaksAfter w:lang="zh-CN" w:val="$([{£¥·‘“〈《「『【〔〖〝﹙﹛﹝＄（．［｛￡￥"/>
  <w:noLineBreaksBefore w:lang="zh-CN" w:val="!%),.:;&gt;?]}¢¨°·ˇˉ―‖’”…‰′″›℃∶、。〃〉》」』】〕〗〞︶︺︾﹀﹄﹚﹜﹞！＂％＇），．：；？］｀｜｝～￠"/>
  <w:footnotePr>
    <w:footnote w:id="-1"/>
    <w:footnote w:id="0"/>
  </w:footnotePr>
  <w:endnotePr>
    <w:endnote w:id="-1"/>
    <w:endnote w:id="0"/>
  </w:endnotePr>
  <w:compat>
    <w:spaceForUL/>
    <w:balanceSingleByteDoubleByteWidth/>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310D"/>
    <w:rsid w:val="008E469A"/>
    <w:rsid w:val="00B9108F"/>
    <w:rsid w:val="00C234DF"/>
    <w:rsid w:val="00E4310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2F3CD60"/>
  <w15:docId w15:val="{4C4D5FBD-4224-44C0-90E3-349C4A52F7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Lucida Sans"/>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Calibri" w:hAnsi="Calibri" w:cs="Times New Roman"/>
      <w:kern w:val="2"/>
      <w:sz w:val="21"/>
      <w:szCs w:val="22"/>
    </w:rPr>
  </w:style>
  <w:style w:type="paragraph" w:styleId="1">
    <w:name w:val="heading 1"/>
    <w:basedOn w:val="a"/>
    <w:next w:val="a"/>
    <w:link w:val="10"/>
    <w:uiPriority w:val="9"/>
    <w:qFormat/>
    <w:pPr>
      <w:keepNext/>
      <w:keepLines/>
      <w:spacing w:before="340" w:after="330" w:line="578" w:lineRule="auto"/>
      <w:outlineLvl w:val="0"/>
    </w:pPr>
    <w:rPr>
      <w:b/>
      <w:bCs/>
      <w:kern w:val="44"/>
      <w:sz w:val="44"/>
      <w:szCs w:val="44"/>
    </w:rPr>
  </w:style>
  <w:style w:type="paragraph" w:styleId="2">
    <w:name w:val="heading 2"/>
    <w:basedOn w:val="a"/>
    <w:next w:val="a"/>
    <w:link w:val="20"/>
    <w:uiPriority w:val="9"/>
    <w:unhideWhenUsed/>
    <w:qFormat/>
    <w:pPr>
      <w:keepNext/>
      <w:keepLines/>
      <w:spacing w:before="260" w:after="260" w:line="415" w:lineRule="auto"/>
      <w:outlineLvl w:val="1"/>
    </w:pPr>
    <w:rPr>
      <w:rFonts w:ascii="Times New Roman" w:eastAsia="黑体" w:hAnsi="Times New Roman"/>
      <w:b/>
      <w:bCs/>
      <w:sz w:val="32"/>
      <w:szCs w:val="32"/>
    </w:rPr>
  </w:style>
  <w:style w:type="paragraph" w:styleId="3">
    <w:name w:val="heading 3"/>
    <w:basedOn w:val="a"/>
    <w:next w:val="a"/>
    <w:link w:val="30"/>
    <w:uiPriority w:val="9"/>
    <w:unhideWhenUsed/>
    <w:qFormat/>
    <w:pPr>
      <w:keepNext/>
      <w:keepLines/>
      <w:outlineLvl w:val="2"/>
    </w:pPr>
    <w:rPr>
      <w: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rPr>
      <w:rFonts w:ascii="Calibri" w:eastAsia="宋体" w:hAnsi="Calibri" w:cs="Times New Roman"/>
      <w:b/>
      <w:bCs/>
      <w:kern w:val="44"/>
      <w:sz w:val="44"/>
      <w:szCs w:val="44"/>
      <w:lang w:val="en-US" w:eastAsia="zh-CN" w:bidi="ar-SA"/>
    </w:rPr>
  </w:style>
  <w:style w:type="character" w:customStyle="1" w:styleId="20">
    <w:name w:val="标题 2 字符"/>
    <w:basedOn w:val="a0"/>
    <w:link w:val="2"/>
    <w:rPr>
      <w:rFonts w:ascii="Times New Roman" w:eastAsia="黑体" w:hAnsi="Times New Roman" w:cs="Times New Roman"/>
      <w:b/>
      <w:bCs/>
      <w:kern w:val="2"/>
      <w:sz w:val="32"/>
      <w:szCs w:val="32"/>
      <w:lang w:val="en-US" w:eastAsia="zh-CN" w:bidi="ar-SA"/>
    </w:rPr>
  </w:style>
  <w:style w:type="character" w:customStyle="1" w:styleId="30">
    <w:name w:val="标题 3 字符"/>
    <w:basedOn w:val="a0"/>
    <w:link w:val="3"/>
    <w:rPr>
      <w:rFonts w:ascii="Calibri" w:eastAsia="宋体" w:hAnsi="Calibri" w:cs="Times New Roman"/>
      <w:b/>
      <w:kern w:val="2"/>
      <w:sz w:val="21"/>
      <w:szCs w:val="22"/>
      <w:lang w:val="en-US" w:eastAsia="zh-CN" w:bidi="ar-SA"/>
    </w:rPr>
  </w:style>
  <w:style w:type="paragraph" w:styleId="a3">
    <w:name w:val="footer"/>
    <w:basedOn w:val="a"/>
    <w:qFormat/>
    <w:pPr>
      <w:tabs>
        <w:tab w:val="center" w:pos="4153"/>
        <w:tab w:val="right" w:pos="8306"/>
      </w:tabs>
      <w:snapToGrid w:val="0"/>
      <w:jc w:val="left"/>
    </w:pPr>
    <w:rPr>
      <w:sz w:val="18"/>
      <w:szCs w:val="18"/>
    </w:rPr>
  </w:style>
  <w:style w:type="character" w:styleId="a4">
    <w:name w:val="page number"/>
    <w:basedOn w:val="a0"/>
    <w:qFormat/>
  </w:style>
  <w:style w:type="paragraph" w:styleId="a5">
    <w:name w:val="Body Text"/>
    <w:basedOn w:val="a"/>
    <w:next w:val="a"/>
    <w:qFormat/>
    <w:rPr>
      <w:rFonts w:ascii="仿宋" w:hAnsi="仿宋" w:cs="仿宋"/>
      <w:sz w:val="31"/>
      <w:szCs w:val="31"/>
    </w:rPr>
  </w:style>
  <w:style w:type="paragraph" w:styleId="a6">
    <w:name w:val="Plain Text"/>
    <w:basedOn w:val="a"/>
    <w:qFormat/>
    <w:rPr>
      <w:rFonts w:ascii="Courier New" w:hAnsi="Courier New"/>
    </w:rPr>
  </w:style>
  <w:style w:type="paragraph" w:styleId="a7">
    <w:name w:val="Normal (Web)"/>
    <w:basedOn w:val="a"/>
    <w:qFormat/>
    <w:pPr>
      <w:spacing w:before="100" w:beforeAutospacing="1" w:after="100" w:afterAutospacing="1"/>
      <w:jc w:val="left"/>
    </w:pPr>
    <w:rPr>
      <w:kern w:val="0"/>
      <w:sz w:val="24"/>
    </w:rPr>
  </w:style>
  <w:style w:type="paragraph" w:customStyle="1" w:styleId="a8">
    <w:name w:val="（正文）"/>
    <w:basedOn w:val="a6"/>
    <w:qFormat/>
    <w:pPr>
      <w:tabs>
        <w:tab w:val="left" w:pos="7380"/>
      </w:tabs>
      <w:spacing w:line="360" w:lineRule="auto"/>
      <w:ind w:firstLine="480"/>
    </w:pPr>
    <w:rPr>
      <w:rFonts w:ascii="仿宋" w:eastAsia="仿宋" w:hAnsi="仿宋" w:cs="仿宋"/>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主题">
      <a:dk1>
        <a:srgbClr val="000000"/>
      </a:dk1>
      <a:lt1>
        <a:srgbClr val="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主题">
      <a:majorFont>
        <a:latin typeface=""/>
        <a:ea typeface=""/>
        <a:cs typeface=""/>
      </a:majorFont>
      <a:minorFont>
        <a:latin typeface=""/>
        <a:ea typeface=""/>
        <a:cs typeface=""/>
      </a:minorFont>
    </a:fontScheme>
    <a:fmtScheme name="Office 主题">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1"/>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1"/>
        </a:gradFill>
      </a:fillStyleLst>
      <a:lnStyleLst>
        <a:ln w="6350" cap="flat" cmpd="sng">
          <a:solidFill>
            <a:schemeClr val="phClr"/>
          </a:solidFill>
          <a:prstDash val="solid"/>
          <a:miter/>
        </a:ln>
        <a:ln w="12700" cap="flat" cmpd="sng">
          <a:solidFill>
            <a:schemeClr val="phClr"/>
          </a:solidFill>
          <a:prstDash val="solid"/>
          <a:miter/>
        </a:ln>
        <a:ln w="19050" cap="flat" cmpd="sng">
          <a:solidFill>
            <a:schemeClr val="phClr"/>
          </a:solidFill>
          <a:prstDash val="solid"/>
          <a:miter/>
        </a:ln>
      </a:lnStyleLst>
      <a:effectStyleLst>
        <a:effectStyle>
          <a:effectLst/>
        </a:effectStyle>
        <a:effectStyle>
          <a:effectLst/>
        </a:effectStyle>
        <a:effectStyle>
          <a:effectLst>
            <a:outerShdw blurRad="57150" dist="19050" dir="5400000" algn="ctr" rotWithShape="0">
              <a:srgbClr val="000000">
                <a:alpha val="62745"/>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1"/>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ustomData xmlns="http://www.yozosoft.com.cn/officeDocument/2016/customData">
  <customProps>
    <docPr revisions="3 0 5 0 0 0 1 0 0 0 26650 1 1 1 1 1"/>
    <sectPr/>
  </customProps>
</customData>
</file>

<file path=customXml/itemProps1.xml><?xml version="1.0" encoding="utf-8"?>
<ds:datastoreItem xmlns:ds="http://schemas.openxmlformats.org/officeDocument/2006/customXml" ds:itemID="{665E9D6B-A01E-4D4A-848A-E78584F2005E}">
  <ds:schemaRefs>
    <ds:schemaRef ds:uri="http://www.yozosoft.com.cn/officeDocument/2016/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1653</Words>
  <Characters>1787</Characters>
  <Application>Microsoft Office Word</Application>
  <DocSecurity>0</DocSecurity>
  <Lines>74</Lines>
  <Paragraphs>25</Paragraphs>
  <ScaleCrop>false</ScaleCrop>
  <Company>Yozosoft</Company>
  <LinksUpToDate>false</LinksUpToDate>
  <CharactersWithSpaces>3415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User274</dc:creator>
  <cp:lastModifiedBy>Guardian Tales</cp:lastModifiedBy>
  <cp:revision>2</cp:revision>
  <dcterms:created xsi:type="dcterms:W3CDTF">2026-05-22T07:45:00Z</dcterms:created>
  <dcterms:modified xsi:type="dcterms:W3CDTF">2026-05-22T07:45:00Z</dcterms:modified>
</cp:coreProperties>
</file>