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54F0" w14:textId="77777777" w:rsidR="00674399" w:rsidRDefault="00674399">
      <w:pPr>
        <w:spacing w:line="560" w:lineRule="exact"/>
        <w:ind w:firstLineChars="1700" w:firstLine="5440"/>
        <w:rPr>
          <w:rFonts w:ascii="仿宋_GB2312" w:eastAsia="仿宋_GB2312" w:hAnsi="仿宋" w:cs="仿宋" w:hint="eastAsia"/>
          <w:sz w:val="32"/>
          <w:szCs w:val="32"/>
        </w:rPr>
      </w:pPr>
    </w:p>
    <w:p w14:paraId="1BA12E62" w14:textId="77777777" w:rsidR="00674399" w:rsidRDefault="00674399">
      <w:pPr>
        <w:spacing w:line="560" w:lineRule="exact"/>
        <w:ind w:firstLineChars="1700" w:firstLine="5440"/>
        <w:rPr>
          <w:rFonts w:ascii="仿宋_GB2312" w:eastAsia="仿宋_GB2312" w:hAnsi="仿宋" w:cs="仿宋" w:hint="eastAsia"/>
          <w:sz w:val="32"/>
          <w:szCs w:val="32"/>
        </w:rPr>
      </w:pPr>
    </w:p>
    <w:p w14:paraId="4685D45E" w14:textId="77777777" w:rsidR="00674399" w:rsidRDefault="00000000">
      <w:pPr>
        <w:spacing w:line="560" w:lineRule="exact"/>
        <w:ind w:firstLineChars="1800" w:firstLine="5760"/>
        <w:rPr>
          <w:rFonts w:ascii="仿宋_GB2312" w:eastAsia="仿宋_GB2312" w:hAnsi="仿宋" w:cs="仿宋" w:hint="eastAsia"/>
          <w:sz w:val="32"/>
          <w:szCs w:val="32"/>
        </w:rPr>
      </w:pPr>
      <w:r>
        <w:rPr>
          <w:rFonts w:ascii="仿宋_GB2312" w:eastAsia="仿宋_GB2312" w:hAnsi="仿宋" w:cs="仿宋" w:hint="eastAsia"/>
          <w:sz w:val="32"/>
          <w:szCs w:val="32"/>
        </w:rPr>
        <w:t>常环建〔2026〕8号</w:t>
      </w:r>
    </w:p>
    <w:p w14:paraId="78F6D0A2" w14:textId="77777777" w:rsidR="00674399" w:rsidRDefault="00674399">
      <w:pPr>
        <w:spacing w:line="560" w:lineRule="exact"/>
        <w:rPr>
          <w:rFonts w:ascii="仿宋_GB2312" w:eastAsia="仿宋_GB2312" w:hAnsi="仿宋" w:cs="仿宋" w:hint="eastAsia"/>
          <w:sz w:val="32"/>
          <w:szCs w:val="32"/>
        </w:rPr>
      </w:pPr>
    </w:p>
    <w:p w14:paraId="2C451BF0" w14:textId="77777777" w:rsidR="00674399" w:rsidRDefault="00000000">
      <w:pPr>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常德市生态环境局</w:t>
      </w:r>
    </w:p>
    <w:p w14:paraId="58A9BF87" w14:textId="77777777" w:rsidR="00674399" w:rsidRDefault="00000000">
      <w:pPr>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关于岩下荣祺食品（湖南）有限公司年产</w:t>
      </w:r>
    </w:p>
    <w:p w14:paraId="4E94C7B2" w14:textId="77777777" w:rsidR="00674399" w:rsidRDefault="00000000">
      <w:pPr>
        <w:spacing w:line="580" w:lineRule="exact"/>
        <w:jc w:val="center"/>
        <w:rPr>
          <w:rFonts w:ascii="方正小标宋简体" w:eastAsia="方正小标宋简体" w:hAnsi="宋体" w:cs="宋体" w:hint="eastAsia"/>
          <w:sz w:val="44"/>
          <w:szCs w:val="44"/>
        </w:rPr>
      </w:pPr>
      <w:r>
        <w:rPr>
          <w:rFonts w:ascii="方正小标宋简体" w:eastAsia="方正小标宋简体" w:hAnsi="宋体" w:cs="宋体" w:hint="eastAsia"/>
          <w:sz w:val="44"/>
          <w:szCs w:val="44"/>
        </w:rPr>
        <w:t>6000吨腌制食品生产线改建项目</w:t>
      </w:r>
    </w:p>
    <w:p w14:paraId="65BED02B" w14:textId="77777777" w:rsidR="00674399" w:rsidRDefault="00000000">
      <w:pPr>
        <w:spacing w:line="580" w:lineRule="exact"/>
        <w:jc w:val="center"/>
        <w:rPr>
          <w:rFonts w:ascii="方正小标宋简体" w:eastAsia="方正小标宋简体" w:hAnsi="仿宋" w:cs="仿宋" w:hint="eastAsia"/>
          <w:sz w:val="44"/>
          <w:szCs w:val="44"/>
        </w:rPr>
      </w:pPr>
      <w:r>
        <w:rPr>
          <w:rFonts w:ascii="方正小标宋简体" w:eastAsia="方正小标宋简体" w:hAnsi="宋体" w:cs="宋体" w:hint="eastAsia"/>
          <w:sz w:val="44"/>
          <w:szCs w:val="44"/>
        </w:rPr>
        <w:t>环境影响报告表的批复</w:t>
      </w:r>
    </w:p>
    <w:p w14:paraId="3DCDF285" w14:textId="77777777" w:rsidR="00674399" w:rsidRDefault="00674399">
      <w:pPr>
        <w:spacing w:line="580" w:lineRule="exact"/>
        <w:rPr>
          <w:rFonts w:ascii="仿宋_GB2312" w:eastAsia="仿宋_GB2312" w:hAnsi="宋体" w:hint="eastAsia"/>
          <w:sz w:val="32"/>
          <w:szCs w:val="32"/>
        </w:rPr>
      </w:pPr>
    </w:p>
    <w:p w14:paraId="35086469" w14:textId="77777777" w:rsidR="00674399" w:rsidRDefault="00000000">
      <w:pPr>
        <w:adjustRightInd w:val="0"/>
        <w:snapToGrid w:val="0"/>
        <w:spacing w:line="560" w:lineRule="exact"/>
        <w:rPr>
          <w:rFonts w:ascii="仿宋_GB2312" w:eastAsia="仿宋_GB2312"/>
          <w:sz w:val="32"/>
          <w:szCs w:val="32"/>
        </w:rPr>
      </w:pPr>
      <w:r>
        <w:rPr>
          <w:rFonts w:ascii="仿宋_GB2312" w:eastAsia="仿宋_GB2312" w:hAnsi="宋体" w:cs="Arial" w:hint="eastAsia"/>
          <w:sz w:val="32"/>
          <w:szCs w:val="32"/>
        </w:rPr>
        <w:t>岩下荣祺食品（湖南）有限公司</w:t>
      </w:r>
      <w:r>
        <w:rPr>
          <w:rFonts w:ascii="仿宋_GB2312" w:eastAsia="仿宋_GB2312" w:hint="eastAsia"/>
          <w:sz w:val="32"/>
          <w:szCs w:val="32"/>
        </w:rPr>
        <w:t>：</w:t>
      </w:r>
    </w:p>
    <w:p w14:paraId="567F0BAF" w14:textId="77777777" w:rsidR="00674399"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你单位《关于申请对&lt;岩下荣祺食品（湖南）有限公司年产6000吨腌制食品生产线改建项目环境影响报告表&gt;进行审批的请示</w:t>
      </w:r>
      <w:r>
        <w:rPr>
          <w:rFonts w:ascii="仿宋_GB2312" w:eastAsia="仿宋_GB2312" w:hAnsi="宋体" w:hint="eastAsia"/>
          <w:sz w:val="32"/>
          <w:szCs w:val="32"/>
        </w:rPr>
        <w:t>》以及附送的《</w:t>
      </w:r>
      <w:r>
        <w:rPr>
          <w:rFonts w:ascii="仿宋_GB2312" w:eastAsia="仿宋_GB2312" w:hint="eastAsia"/>
          <w:sz w:val="32"/>
          <w:szCs w:val="32"/>
        </w:rPr>
        <w:t>岩下荣祺食品（湖南）有限公司年产6000吨腌制食品生产线改建项目环境影响报告表</w:t>
      </w:r>
      <w:r>
        <w:rPr>
          <w:rFonts w:ascii="仿宋_GB2312" w:eastAsia="仿宋_GB2312" w:hAnsi="宋体" w:hint="eastAsia"/>
          <w:sz w:val="32"/>
          <w:szCs w:val="32"/>
        </w:rPr>
        <w:t>》（以下简称《报告表》）及相关材料收悉，</w:t>
      </w:r>
      <w:r>
        <w:rPr>
          <w:rFonts w:ascii="仿宋_GB2312" w:eastAsia="仿宋_GB2312" w:hAnsi="仿宋" w:hint="eastAsia"/>
          <w:bCs/>
          <w:sz w:val="32"/>
          <w:szCs w:val="32"/>
        </w:rPr>
        <w:t>根据专家评审意见、常德市生态环境局汉寿分局对《报告表》出具的预审意见，以及《报告表》受理后在网上公示期间未收到反馈意见的情况，</w:t>
      </w:r>
      <w:r>
        <w:rPr>
          <w:rFonts w:ascii="仿宋_GB2312" w:eastAsia="仿宋_GB2312" w:hint="eastAsia"/>
          <w:sz w:val="32"/>
          <w:szCs w:val="32"/>
        </w:rPr>
        <w:t>经研究，现批复如下:</w:t>
      </w:r>
    </w:p>
    <w:p w14:paraId="6819A478" w14:textId="77777777" w:rsidR="00674399"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岩下荣祺食品（湖南）有限公司年产6000吨腌制食品生产线改建项目位于湖南省常德市汉寿县辰阳街道大杨西路228号，总占地面积128060m</w:t>
      </w:r>
      <w:r>
        <w:rPr>
          <w:rFonts w:ascii="仿宋_GB2312" w:eastAsia="仿宋_GB2312" w:hint="eastAsia"/>
          <w:sz w:val="32"/>
          <w:szCs w:val="32"/>
          <w:vertAlign w:val="superscript"/>
        </w:rPr>
        <w:t>2</w:t>
      </w:r>
      <w:r>
        <w:rPr>
          <w:rFonts w:ascii="仿宋_GB2312" w:eastAsia="仿宋_GB2312" w:hint="eastAsia"/>
          <w:sz w:val="32"/>
          <w:szCs w:val="32"/>
        </w:rPr>
        <w:t>，本次改建</w:t>
      </w:r>
      <w:proofErr w:type="gramStart"/>
      <w:r>
        <w:rPr>
          <w:rFonts w:ascii="仿宋_GB2312" w:eastAsia="仿宋_GB2312" w:hint="eastAsia"/>
          <w:sz w:val="32"/>
          <w:szCs w:val="32"/>
        </w:rPr>
        <w:t>不</w:t>
      </w:r>
      <w:proofErr w:type="gramEnd"/>
      <w:r>
        <w:rPr>
          <w:rFonts w:ascii="仿宋_GB2312" w:eastAsia="仿宋_GB2312" w:hint="eastAsia"/>
          <w:sz w:val="32"/>
          <w:szCs w:val="32"/>
        </w:rPr>
        <w:t>新增用地。项目改建的主要内容为：淘汰原有的2.5t/h燃煤锅炉，新建1台2t/h燃气锅炉；取消厂区内藠头预处理和腌制工艺，通过购买已腌制好的藠头进行加工生产，腌制车间内</w:t>
      </w:r>
      <w:proofErr w:type="gramStart"/>
      <w:r>
        <w:rPr>
          <w:rFonts w:ascii="仿宋_GB2312" w:eastAsia="仿宋_GB2312" w:hint="eastAsia"/>
          <w:sz w:val="32"/>
          <w:szCs w:val="32"/>
        </w:rPr>
        <w:t>腌制池仅作为</w:t>
      </w:r>
      <w:proofErr w:type="gramEnd"/>
      <w:r>
        <w:rPr>
          <w:rFonts w:ascii="仿宋_GB2312" w:eastAsia="仿宋_GB2312" w:hint="eastAsia"/>
          <w:sz w:val="32"/>
          <w:szCs w:val="32"/>
        </w:rPr>
        <w:t>来料藠果暂时储存使用。</w:t>
      </w:r>
      <w:r>
        <w:rPr>
          <w:rFonts w:ascii="仿宋_GB2312" w:eastAsia="仿宋_GB2312" w:hint="eastAsia"/>
          <w:sz w:val="32"/>
          <w:szCs w:val="32"/>
        </w:rPr>
        <w:lastRenderedPageBreak/>
        <w:t>项目改建后，年生产藠果罐头6000吨。项目总投资200万元，其中环保投资6万元，占总投资的3%。本项目为补办环评手续，常德市生态环境局汉寿分局对该项目涉嫌的违法行为已予立案调查。</w:t>
      </w:r>
    </w:p>
    <w:p w14:paraId="35633DF9" w14:textId="77777777" w:rsidR="00674399" w:rsidRDefault="00000000">
      <w:pPr>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二、根据《报告表》结论、专家评审意见、常德市生态环境局汉寿分局对《报告表》出具的预审意见</w:t>
      </w:r>
      <w:r>
        <w:rPr>
          <w:rFonts w:ascii="仿宋_GB2312" w:eastAsia="仿宋_GB2312" w:hAnsi="仿宋" w:hint="eastAsia"/>
          <w:bCs/>
          <w:color w:val="0000FF"/>
          <w:sz w:val="32"/>
          <w:szCs w:val="32"/>
        </w:rPr>
        <w:t>，</w:t>
      </w:r>
      <w:r>
        <w:rPr>
          <w:rFonts w:ascii="仿宋_GB2312" w:eastAsia="仿宋_GB2312" w:hAnsi="仿宋" w:cs="仿宋" w:hint="eastAsia"/>
          <w:sz w:val="32"/>
          <w:szCs w:val="32"/>
        </w:rPr>
        <w:t>以及相关行政主管部门的意见，该项目符合国家产业政策及相关规划要求。你单位在严格落实《报告表》及批复提出的各项生态环境保护和污染防治措施、环境风险防治措施，确保环保设施正常运行、污染物达标排放和风险可控的前提下，从生态环境保护角度我局原则同意项目建设。</w:t>
      </w:r>
    </w:p>
    <w:p w14:paraId="6842A8E1" w14:textId="77777777" w:rsidR="00674399" w:rsidRDefault="00000000">
      <w:pPr>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三、项目在设计、建设和运营管理过程中，必须全面落实《报告表》提出的各项污染防治措施并着重做好如下工作：</w:t>
      </w:r>
    </w:p>
    <w:p w14:paraId="2E8DA85B" w14:textId="77777777" w:rsidR="00674399" w:rsidRDefault="00000000">
      <w:pPr>
        <w:pStyle w:val="a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lang w:val="zh-TW" w:eastAsia="zh-TW"/>
        </w:rPr>
        <w:t>（一）严格落实水污染防治措施</w:t>
      </w:r>
      <w:r>
        <w:rPr>
          <w:rFonts w:ascii="仿宋_GB2312" w:eastAsia="仿宋_GB2312" w:hAnsi="仿宋" w:cs="仿宋" w:hint="eastAsia"/>
          <w:sz w:val="32"/>
          <w:szCs w:val="32"/>
          <w:lang w:val="zh-TW"/>
        </w:rPr>
        <w:t>。按照雨污分流、清污分流、污</w:t>
      </w:r>
      <w:proofErr w:type="gramStart"/>
      <w:r>
        <w:rPr>
          <w:rFonts w:ascii="仿宋_GB2312" w:eastAsia="仿宋_GB2312" w:hAnsi="仿宋" w:cs="仿宋" w:hint="eastAsia"/>
          <w:sz w:val="32"/>
          <w:szCs w:val="32"/>
          <w:lang w:val="zh-TW"/>
        </w:rPr>
        <w:t>污</w:t>
      </w:r>
      <w:proofErr w:type="gramEnd"/>
      <w:r>
        <w:rPr>
          <w:rFonts w:ascii="仿宋_GB2312" w:eastAsia="仿宋_GB2312" w:hAnsi="仿宋" w:cs="仿宋" w:hint="eastAsia"/>
          <w:sz w:val="32"/>
          <w:szCs w:val="32"/>
          <w:lang w:val="zh-TW"/>
        </w:rPr>
        <w:t>分流的原则建设给排水、污水处理系统。生产废水与</w:t>
      </w:r>
      <w:r>
        <w:rPr>
          <w:rFonts w:ascii="仿宋_GB2312" w:eastAsia="仿宋_GB2312" w:hAnsi="仿宋" w:cs="仿宋" w:hint="eastAsia"/>
          <w:sz w:val="32"/>
          <w:szCs w:val="32"/>
        </w:rPr>
        <w:t>经化粪池和隔油池处理的生活污水，一并进入厂区污水处理站，通过“厌氧+SBR法”，添加</w:t>
      </w:r>
      <w:proofErr w:type="gramStart"/>
      <w:r>
        <w:rPr>
          <w:rFonts w:ascii="仿宋_GB2312" w:eastAsia="仿宋_GB2312" w:hAnsi="仿宋" w:cs="仿宋" w:hint="eastAsia"/>
          <w:sz w:val="32"/>
          <w:szCs w:val="32"/>
        </w:rPr>
        <w:t>耐盐菌预处理</w:t>
      </w:r>
      <w:proofErr w:type="gramEnd"/>
      <w:r>
        <w:rPr>
          <w:rFonts w:ascii="仿宋_GB2312" w:eastAsia="仿宋_GB2312" w:hAnsi="仿宋" w:cs="仿宋" w:hint="eastAsia"/>
          <w:sz w:val="32"/>
          <w:szCs w:val="32"/>
        </w:rPr>
        <w:t>后，排入大杨西路污水管网，最终汇入分家渠污水处理厂进一步处理后达标排放。经过预处理后的废水排入污水管网须满足《污水综合排放标准》（GB8978-1996）中三级标准，同时满足汉寿分家渠污水处理厂进水水质要求，且全盐量符合《食品加工制造业水污染物排放标准》（GB46817-2025）表1间接排放浓度限值。</w:t>
      </w:r>
    </w:p>
    <w:p w14:paraId="67120653" w14:textId="77777777" w:rsidR="00674399" w:rsidRDefault="00000000">
      <w:pPr>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（二）严格落实大气污染防治措施。天然气锅炉</w:t>
      </w:r>
      <w:proofErr w:type="gramStart"/>
      <w:r>
        <w:rPr>
          <w:rFonts w:ascii="仿宋_GB2312" w:eastAsia="仿宋_GB2312" w:hAnsi="仿宋" w:cs="仿宋" w:hint="eastAsia"/>
          <w:sz w:val="32"/>
          <w:szCs w:val="32"/>
        </w:rPr>
        <w:t>配套低氮燃</w:t>
      </w:r>
      <w:r>
        <w:rPr>
          <w:rFonts w:ascii="仿宋_GB2312" w:eastAsia="仿宋_GB2312" w:hAnsi="仿宋" w:cs="仿宋" w:hint="eastAsia"/>
          <w:sz w:val="32"/>
          <w:szCs w:val="32"/>
        </w:rPr>
        <w:lastRenderedPageBreak/>
        <w:t>烧器</w:t>
      </w:r>
      <w:proofErr w:type="gramEnd"/>
      <w:r>
        <w:rPr>
          <w:rFonts w:ascii="仿宋_GB2312" w:eastAsia="仿宋_GB2312" w:hAnsi="仿宋" w:cs="仿宋" w:hint="eastAsia"/>
          <w:sz w:val="32"/>
          <w:szCs w:val="32"/>
        </w:rPr>
        <w:t>，废气经12米高排气筒（DA001）排放。污水处理站采取喷洒除臭剂以及废水收集处理池进行遮盖的措施，降低臭气浓度。厨房餐厨油烟经油烟净化器处理后引至屋顶排放。本项目颗粒物、SO</w:t>
      </w:r>
      <w:r>
        <w:rPr>
          <w:rFonts w:ascii="仿宋_GB2312" w:eastAsia="仿宋_GB2312" w:hAnsi="仿宋" w:cs="仿宋" w:hint="eastAsia"/>
          <w:sz w:val="32"/>
          <w:szCs w:val="32"/>
          <w:vertAlign w:val="subscript"/>
        </w:rPr>
        <w:t>2</w:t>
      </w:r>
      <w:r>
        <w:rPr>
          <w:rFonts w:ascii="仿宋_GB2312" w:eastAsia="仿宋_GB2312" w:hAnsi="仿宋" w:cs="仿宋" w:hint="eastAsia"/>
          <w:sz w:val="32"/>
          <w:szCs w:val="32"/>
        </w:rPr>
        <w:t>、NOx执行《锅炉大气污染物排放标准》(GB13271-2014) 中表 3 燃气锅炉大气污染</w:t>
      </w:r>
      <w:proofErr w:type="gramStart"/>
      <w:r>
        <w:rPr>
          <w:rFonts w:ascii="仿宋_GB2312" w:eastAsia="仿宋_GB2312" w:hAnsi="仿宋" w:cs="仿宋" w:hint="eastAsia"/>
          <w:sz w:val="32"/>
          <w:szCs w:val="32"/>
        </w:rPr>
        <w:t>物特别</w:t>
      </w:r>
      <w:proofErr w:type="gramEnd"/>
      <w:r>
        <w:rPr>
          <w:rFonts w:ascii="仿宋_GB2312" w:eastAsia="仿宋_GB2312" w:hAnsi="仿宋" w:cs="仿宋" w:hint="eastAsia"/>
          <w:sz w:val="32"/>
          <w:szCs w:val="32"/>
        </w:rPr>
        <w:t>排放限值；恶臭执行《恶臭污染物排放标准》（14554-93）表1恶臭污染物厂界标准值；食堂油烟执行《饮食业油烟排放标准》（GB18483-2001）限值要求。</w:t>
      </w:r>
    </w:p>
    <w:p w14:paraId="74E1E6A0" w14:textId="77777777" w:rsidR="00674399" w:rsidRDefault="00000000">
      <w:pPr>
        <w:topLinePunct/>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lang w:val="zh-TW" w:eastAsia="zh-TW"/>
        </w:rPr>
        <w:t>（</w:t>
      </w:r>
      <w:r>
        <w:rPr>
          <w:rFonts w:ascii="仿宋_GB2312" w:eastAsia="仿宋_GB2312" w:hAnsi="仿宋" w:cs="仿宋" w:hint="eastAsia"/>
          <w:sz w:val="32"/>
          <w:szCs w:val="32"/>
        </w:rPr>
        <w:t>三</w:t>
      </w:r>
      <w:r>
        <w:rPr>
          <w:rFonts w:ascii="仿宋_GB2312" w:eastAsia="仿宋_GB2312" w:hAnsi="仿宋" w:cs="仿宋" w:hint="eastAsia"/>
          <w:sz w:val="32"/>
          <w:szCs w:val="32"/>
          <w:lang w:val="zh-TW" w:eastAsia="zh-TW"/>
        </w:rPr>
        <w:t>）</w:t>
      </w:r>
      <w:r>
        <w:rPr>
          <w:rFonts w:ascii="仿宋_GB2312" w:eastAsia="仿宋_GB2312" w:hAnsi="仿宋" w:cs="仿宋" w:hint="eastAsia"/>
          <w:sz w:val="32"/>
          <w:szCs w:val="32"/>
        </w:rPr>
        <w:t>严格落实固体废物分类管理与处置措施</w:t>
      </w:r>
      <w:r>
        <w:rPr>
          <w:rFonts w:ascii="仿宋_GB2312" w:eastAsia="仿宋_GB2312" w:hAnsi="仿宋" w:cs="仿宋" w:hint="eastAsia"/>
          <w:sz w:val="32"/>
          <w:szCs w:val="32"/>
          <w:lang w:val="zh-TW"/>
        </w:rPr>
        <w:t>。严格按规范要求</w:t>
      </w:r>
      <w:proofErr w:type="gramStart"/>
      <w:r>
        <w:rPr>
          <w:rFonts w:ascii="仿宋_GB2312" w:eastAsia="仿宋_GB2312" w:hAnsi="仿宋" w:cs="仿宋" w:hint="eastAsia"/>
          <w:sz w:val="32"/>
          <w:szCs w:val="32"/>
          <w:lang w:val="zh-TW"/>
        </w:rPr>
        <w:t>设置危废暂存</w:t>
      </w:r>
      <w:proofErr w:type="gramEnd"/>
      <w:r>
        <w:rPr>
          <w:rFonts w:ascii="仿宋_GB2312" w:eastAsia="仿宋_GB2312" w:hAnsi="仿宋" w:cs="仿宋" w:hint="eastAsia"/>
          <w:sz w:val="32"/>
          <w:szCs w:val="32"/>
          <w:lang w:val="zh-TW"/>
        </w:rPr>
        <w:t>间，其建设、运行和管理应分别满足《一般工业固体废物贮存和填埋污染控制标准》（GB18599-2020）和《危险废物贮存污染控制标准》（GB18597-2023）要求。</w:t>
      </w:r>
      <w:r>
        <w:rPr>
          <w:rFonts w:ascii="仿宋_GB2312" w:eastAsia="仿宋_GB2312" w:hAnsi="仿宋" w:cs="仿宋" w:hint="eastAsia"/>
          <w:sz w:val="32"/>
          <w:szCs w:val="32"/>
        </w:rPr>
        <w:t>生活垃圾分类收集后交由环卫部门转运处置。</w:t>
      </w:r>
    </w:p>
    <w:p w14:paraId="1C6B6058" w14:textId="77777777" w:rsidR="00674399" w:rsidRDefault="00000000">
      <w:pPr>
        <w:topLinePunct/>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 xml:space="preserve">（四）严格落实噪声污染防治措施。选用低噪声设备，并采取减震、消声、隔声等措施降低设备噪声排放，合理安排生产时 </w:t>
      </w:r>
    </w:p>
    <w:p w14:paraId="7BD4D367" w14:textId="77777777" w:rsidR="00674399" w:rsidRDefault="00000000">
      <w:pPr>
        <w:topLinePunct/>
        <w:adjustRightInd w:val="0"/>
        <w:snapToGrid w:val="0"/>
        <w:spacing w:line="560" w:lineRule="exact"/>
        <w:rPr>
          <w:rFonts w:ascii="仿宋_GB2312" w:eastAsia="仿宋_GB2312" w:hAnsi="仿宋" w:cs="仿宋" w:hint="eastAsia"/>
          <w:sz w:val="32"/>
          <w:szCs w:val="32"/>
        </w:rPr>
      </w:pPr>
      <w:r>
        <w:rPr>
          <w:rFonts w:ascii="仿宋_GB2312" w:eastAsia="仿宋_GB2312" w:hAnsi="仿宋" w:cs="仿宋" w:hint="eastAsia"/>
          <w:sz w:val="32"/>
          <w:szCs w:val="32"/>
        </w:rPr>
        <w:t>间，严禁在夜间（22:00-6:00）进行高噪声作业，防止噪声</w:t>
      </w:r>
      <w:proofErr w:type="gramStart"/>
      <w:r>
        <w:rPr>
          <w:rFonts w:ascii="仿宋_GB2312" w:eastAsia="仿宋_GB2312" w:hAnsi="仿宋" w:cs="仿宋" w:hint="eastAsia"/>
          <w:sz w:val="32"/>
          <w:szCs w:val="32"/>
        </w:rPr>
        <w:t>扰</w:t>
      </w:r>
      <w:proofErr w:type="gramEnd"/>
      <w:r>
        <w:rPr>
          <w:rFonts w:ascii="仿宋_GB2312" w:eastAsia="仿宋_GB2312" w:hAnsi="仿宋" w:cs="仿宋" w:hint="eastAsia"/>
          <w:sz w:val="32"/>
          <w:szCs w:val="32"/>
        </w:rPr>
        <w:t xml:space="preserve"> </w:t>
      </w:r>
    </w:p>
    <w:p w14:paraId="3C905A01" w14:textId="77777777" w:rsidR="00674399" w:rsidRDefault="00000000">
      <w:pPr>
        <w:topLinePunct/>
        <w:adjustRightInd w:val="0"/>
        <w:snapToGrid w:val="0"/>
        <w:spacing w:line="560" w:lineRule="exact"/>
        <w:rPr>
          <w:rFonts w:ascii="仿宋_GB2312" w:eastAsia="仿宋_GB2312" w:hAnsi="仿宋" w:cs="仿宋" w:hint="eastAsia"/>
          <w:sz w:val="32"/>
          <w:szCs w:val="32"/>
        </w:rPr>
      </w:pPr>
      <w:r>
        <w:rPr>
          <w:rFonts w:ascii="仿宋_GB2312" w:eastAsia="仿宋_GB2312" w:hAnsi="仿宋" w:cs="仿宋" w:hint="eastAsia"/>
          <w:sz w:val="32"/>
          <w:szCs w:val="32"/>
        </w:rPr>
        <w:t>民。厂界噪声执行《工业企业厂界环境噪声排放标准》 (GB12348-2008)中 2类标准限值。</w:t>
      </w:r>
    </w:p>
    <w:p w14:paraId="7E3B7876" w14:textId="77777777" w:rsidR="00674399" w:rsidRDefault="00000000">
      <w:pPr>
        <w:topLinePunct/>
        <w:adjustRightInd w:val="0"/>
        <w:snapToGrid w:val="0"/>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（五）落实环境风险防控措施。建立环保规章制度和岗位责任制，落实各项事故应急防范措施，严防风险事故发生。</w:t>
      </w:r>
    </w:p>
    <w:p w14:paraId="7FB0FC71" w14:textId="77777777" w:rsidR="00674399" w:rsidRDefault="00000000">
      <w:pPr>
        <w:topLinePunct/>
        <w:adjustRightInd w:val="0"/>
        <w:snapToGrid w:val="0"/>
        <w:spacing w:line="560" w:lineRule="exact"/>
        <w:ind w:firstLineChars="200" w:firstLine="640"/>
        <w:rPr>
          <w:rFonts w:ascii="仿宋_GB2312" w:eastAsia="仿宋_GB2312" w:hAnsi="仿宋" w:cs="仿宋" w:hint="eastAsia"/>
          <w:color w:val="FF0000"/>
          <w:sz w:val="32"/>
          <w:szCs w:val="32"/>
        </w:rPr>
      </w:pPr>
      <w:r>
        <w:rPr>
          <w:rFonts w:ascii="仿宋_GB2312" w:eastAsia="仿宋_GB2312" w:hAnsi="仿宋" w:cs="仿宋" w:hint="eastAsia"/>
          <w:sz w:val="32"/>
          <w:szCs w:val="32"/>
        </w:rPr>
        <w:t>（六）依据《报告表》，</w:t>
      </w:r>
      <w:proofErr w:type="gramStart"/>
      <w:r>
        <w:rPr>
          <w:rFonts w:ascii="仿宋_GB2312" w:eastAsia="仿宋_GB2312" w:hAnsi="仿宋" w:cs="仿宋" w:hint="eastAsia"/>
          <w:sz w:val="32"/>
          <w:szCs w:val="32"/>
        </w:rPr>
        <w:t>本改扩建</w:t>
      </w:r>
      <w:proofErr w:type="gramEnd"/>
      <w:r>
        <w:rPr>
          <w:rFonts w:ascii="仿宋_GB2312" w:eastAsia="仿宋_GB2312" w:hAnsi="仿宋" w:cs="仿宋" w:hint="eastAsia"/>
          <w:sz w:val="32"/>
          <w:szCs w:val="32"/>
        </w:rPr>
        <w:t>项目排放总量控制指标分别为SO</w:t>
      </w:r>
      <w:r>
        <w:rPr>
          <w:rFonts w:ascii="仿宋_GB2312" w:eastAsia="仿宋_GB2312" w:hAnsi="仿宋" w:cs="仿宋" w:hint="eastAsia"/>
          <w:sz w:val="32"/>
          <w:szCs w:val="32"/>
          <w:vertAlign w:val="subscript"/>
        </w:rPr>
        <w:t>2</w:t>
      </w:r>
      <w:r>
        <w:rPr>
          <w:rFonts w:ascii="仿宋_GB2312" w:eastAsia="仿宋_GB2312" w:hAnsi="仿宋" w:cs="仿宋" w:hint="eastAsia"/>
          <w:sz w:val="32"/>
          <w:szCs w:val="32"/>
        </w:rPr>
        <w:tab/>
        <w:t>：0.01 吨/年、NOx：0.22吨/年、COD：2.51 吨/年、氨氮：0.08吨/年。</w:t>
      </w:r>
    </w:p>
    <w:p w14:paraId="7234B9CE" w14:textId="77777777" w:rsidR="00674399" w:rsidRDefault="00000000">
      <w:pPr>
        <w:topLinePunct/>
        <w:adjustRightInd w:val="0"/>
        <w:snapToGrid w:val="0"/>
        <w:spacing w:line="560" w:lineRule="exact"/>
        <w:ind w:firstLineChars="200" w:firstLine="640"/>
        <w:rPr>
          <w:rFonts w:ascii="仿宋_GB2312" w:eastAsia="仿宋_GB2312" w:hAnsi="仿宋" w:cs="仿宋" w:hint="eastAsia"/>
          <w:sz w:val="32"/>
          <w:szCs w:val="32"/>
          <w:lang w:val="zh-TW"/>
        </w:rPr>
      </w:pPr>
      <w:r>
        <w:rPr>
          <w:rFonts w:ascii="仿宋_GB2312" w:eastAsia="仿宋_GB2312" w:hAnsi="仿宋" w:cs="仿宋" w:hint="eastAsia"/>
          <w:sz w:val="32"/>
          <w:szCs w:val="32"/>
        </w:rPr>
        <w:t>四</w:t>
      </w:r>
      <w:r>
        <w:rPr>
          <w:rFonts w:ascii="仿宋_GB2312" w:eastAsia="仿宋_GB2312" w:hAnsi="仿宋" w:cs="仿宋" w:hint="eastAsia"/>
          <w:sz w:val="32"/>
          <w:szCs w:val="32"/>
          <w:lang w:val="zh-TW"/>
        </w:rPr>
        <w:t>、《报告表》经批准后，建设项目的性质、规模、地点、</w:t>
      </w:r>
      <w:r>
        <w:rPr>
          <w:rFonts w:ascii="仿宋_GB2312" w:eastAsia="仿宋_GB2312" w:hAnsi="仿宋" w:cs="仿宋" w:hint="eastAsia"/>
          <w:sz w:val="32"/>
          <w:szCs w:val="32"/>
          <w:lang w:val="zh-TW"/>
        </w:rPr>
        <w:lastRenderedPageBreak/>
        <w:t>采用的生产工艺或者防治污染、防止生态破坏的措施发生重大变动的，应重新向我局报批环境影响评价文件。项目在实际排污之前须完善排污许可相关手续，并严格按规定程序实施竣工环境保护验收。本项目建设、运行依法需要其他行政许可的，你单位应按规定及时办理并取得其他行政许可。</w:t>
      </w:r>
    </w:p>
    <w:p w14:paraId="3114FEDB" w14:textId="77777777" w:rsidR="00674399" w:rsidRDefault="00000000">
      <w:pPr>
        <w:topLinePunct/>
        <w:adjustRightInd w:val="0"/>
        <w:snapToGrid w:val="0"/>
        <w:spacing w:line="560" w:lineRule="exact"/>
        <w:ind w:firstLineChars="200" w:firstLine="640"/>
        <w:rPr>
          <w:rFonts w:ascii="仿宋_GB2312" w:eastAsia="仿宋_GB2312" w:hAnsi="仿宋" w:cs="仿宋" w:hint="eastAsia"/>
          <w:sz w:val="32"/>
          <w:szCs w:val="32"/>
          <w:lang w:val="zh-TW"/>
        </w:rPr>
      </w:pPr>
      <w:r>
        <w:rPr>
          <w:rFonts w:ascii="仿宋_GB2312" w:eastAsia="仿宋_GB2312" w:hAnsi="仿宋" w:cs="仿宋" w:hint="eastAsia"/>
          <w:sz w:val="32"/>
          <w:szCs w:val="32"/>
        </w:rPr>
        <w:t>五、</w:t>
      </w:r>
      <w:r>
        <w:rPr>
          <w:rFonts w:ascii="仿宋_GB2312" w:eastAsia="仿宋_GB2312" w:hAnsi="仿宋" w:cs="仿宋" w:hint="eastAsia"/>
          <w:sz w:val="32"/>
          <w:szCs w:val="32"/>
          <w:lang w:val="zh-TW"/>
        </w:rPr>
        <w:t>该项目的“三同时”监督检查及日常环境管理工作按属地管理原则由常德市生态环境局</w:t>
      </w:r>
      <w:r>
        <w:rPr>
          <w:rFonts w:ascii="仿宋_GB2312" w:eastAsia="仿宋_GB2312" w:hAnsi="仿宋" w:cs="仿宋" w:hint="eastAsia"/>
          <w:sz w:val="32"/>
          <w:szCs w:val="32"/>
        </w:rPr>
        <w:t>汉寿</w:t>
      </w:r>
      <w:r>
        <w:rPr>
          <w:rFonts w:ascii="仿宋_GB2312" w:eastAsia="仿宋_GB2312" w:hAnsi="仿宋" w:cs="仿宋" w:hint="eastAsia"/>
          <w:sz w:val="32"/>
          <w:szCs w:val="32"/>
          <w:lang w:val="zh-TW"/>
        </w:rPr>
        <w:t>分局具体负责。你单位应在收到本批复后的5个工作日内，将批准后的《报告表》及本批复送至常德市生态环境局</w:t>
      </w:r>
      <w:r>
        <w:rPr>
          <w:rFonts w:ascii="仿宋_GB2312" w:eastAsia="仿宋_GB2312" w:hAnsi="仿宋" w:cs="仿宋" w:hint="eastAsia"/>
          <w:sz w:val="32"/>
          <w:szCs w:val="32"/>
        </w:rPr>
        <w:t>汉寿</w:t>
      </w:r>
      <w:r>
        <w:rPr>
          <w:rFonts w:ascii="仿宋_GB2312" w:eastAsia="仿宋_GB2312" w:hAnsi="仿宋" w:cs="仿宋" w:hint="eastAsia"/>
          <w:sz w:val="32"/>
          <w:szCs w:val="32"/>
          <w:lang w:val="zh-TW"/>
        </w:rPr>
        <w:t>分局。</w:t>
      </w:r>
    </w:p>
    <w:p w14:paraId="59A972F1" w14:textId="77777777" w:rsidR="00674399" w:rsidRDefault="00674399">
      <w:pPr>
        <w:topLinePunct/>
        <w:adjustRightInd w:val="0"/>
        <w:snapToGrid w:val="0"/>
        <w:spacing w:line="560" w:lineRule="exact"/>
        <w:ind w:firstLineChars="200" w:firstLine="640"/>
        <w:rPr>
          <w:rFonts w:ascii="仿宋_GB2312" w:eastAsia="仿宋_GB2312" w:hAnsi="仿宋" w:cs="仿宋" w:hint="eastAsia"/>
          <w:sz w:val="32"/>
          <w:szCs w:val="32"/>
          <w:lang w:val="zh-TW"/>
        </w:rPr>
      </w:pPr>
    </w:p>
    <w:p w14:paraId="4AA193C0" w14:textId="77777777" w:rsidR="00674399" w:rsidRDefault="00674399">
      <w:pPr>
        <w:tabs>
          <w:tab w:val="left" w:pos="7560"/>
        </w:tabs>
        <w:adjustRightInd w:val="0"/>
        <w:snapToGrid w:val="0"/>
        <w:spacing w:line="560" w:lineRule="exact"/>
        <w:rPr>
          <w:rFonts w:ascii="仿宋_GB2312" w:eastAsia="仿宋_GB2312" w:hAnsi="宋体" w:hint="eastAsia"/>
          <w:sz w:val="32"/>
          <w:szCs w:val="32"/>
        </w:rPr>
      </w:pPr>
    </w:p>
    <w:p w14:paraId="5572CBA4" w14:textId="77777777" w:rsidR="00674399" w:rsidRDefault="00000000">
      <w:pPr>
        <w:adjustRightInd w:val="0"/>
        <w:snapToGrid w:val="0"/>
        <w:spacing w:line="560" w:lineRule="exact"/>
        <w:ind w:firstLineChars="1575" w:firstLine="5040"/>
        <w:rPr>
          <w:rFonts w:ascii="仿宋_GB2312" w:eastAsia="仿宋_GB2312" w:hAnsi="仿宋" w:cs="仿宋" w:hint="eastAsia"/>
          <w:sz w:val="32"/>
          <w:szCs w:val="32"/>
        </w:rPr>
      </w:pPr>
      <w:r>
        <w:rPr>
          <w:rFonts w:ascii="仿宋_GB2312" w:eastAsia="仿宋_GB2312" w:hAnsi="仿宋" w:cs="仿宋" w:hint="eastAsia"/>
          <w:sz w:val="32"/>
          <w:szCs w:val="32"/>
        </w:rPr>
        <w:t>常德市生态环境局</w:t>
      </w:r>
    </w:p>
    <w:p w14:paraId="6E74FC67" w14:textId="77777777" w:rsidR="00674399" w:rsidRDefault="00000000">
      <w:pPr>
        <w:adjustRightInd w:val="0"/>
        <w:snapToGrid w:val="0"/>
        <w:spacing w:line="560" w:lineRule="exact"/>
        <w:ind w:firstLineChars="1575" w:firstLine="5040"/>
        <w:rPr>
          <w:rFonts w:ascii="仿宋_GB2312" w:eastAsia="仿宋_GB2312" w:hAnsi="仿宋" w:cs="仿宋" w:hint="eastAsia"/>
          <w:sz w:val="32"/>
          <w:szCs w:val="32"/>
        </w:rPr>
      </w:pPr>
      <w:r>
        <w:rPr>
          <w:rFonts w:ascii="仿宋_GB2312" w:eastAsia="仿宋_GB2312" w:hAnsi="仿宋" w:cs="仿宋" w:hint="eastAsia"/>
          <w:sz w:val="32"/>
          <w:szCs w:val="32"/>
        </w:rPr>
        <w:t>2026年1月23日</w:t>
      </w:r>
    </w:p>
    <w:p w14:paraId="7DA92366" w14:textId="77777777" w:rsidR="00674399" w:rsidRDefault="00674399">
      <w:pPr>
        <w:pStyle w:val="af"/>
        <w:adjustRightInd w:val="0"/>
        <w:snapToGrid w:val="0"/>
        <w:spacing w:line="100" w:lineRule="exact"/>
        <w:ind w:firstLineChars="0" w:firstLine="0"/>
        <w:rPr>
          <w:rFonts w:hint="eastAsia"/>
          <w:color w:val="auto"/>
          <w:lang w:val="de-DE"/>
        </w:rPr>
      </w:pPr>
    </w:p>
    <w:p w14:paraId="054E8BE4" w14:textId="77777777" w:rsidR="00674399" w:rsidRDefault="00674399">
      <w:pPr>
        <w:pStyle w:val="af"/>
        <w:adjustRightInd w:val="0"/>
        <w:snapToGrid w:val="0"/>
        <w:spacing w:line="100" w:lineRule="exact"/>
        <w:ind w:firstLineChars="0" w:firstLine="0"/>
        <w:rPr>
          <w:rFonts w:hint="eastAsia"/>
          <w:color w:val="auto"/>
          <w:lang w:val="de-DE"/>
        </w:rPr>
      </w:pPr>
    </w:p>
    <w:p w14:paraId="44A1897F" w14:textId="77777777" w:rsidR="00674399" w:rsidRDefault="00674399">
      <w:pPr>
        <w:pStyle w:val="af"/>
        <w:adjustRightInd w:val="0"/>
        <w:snapToGrid w:val="0"/>
        <w:spacing w:line="100" w:lineRule="exact"/>
        <w:ind w:firstLineChars="0" w:firstLine="0"/>
        <w:rPr>
          <w:rFonts w:hint="eastAsia"/>
          <w:color w:val="auto"/>
          <w:lang w:val="de-DE"/>
        </w:rPr>
      </w:pPr>
    </w:p>
    <w:p w14:paraId="0DD29917" w14:textId="77777777" w:rsidR="00674399" w:rsidRDefault="00674399">
      <w:pPr>
        <w:pStyle w:val="af"/>
        <w:adjustRightInd w:val="0"/>
        <w:snapToGrid w:val="0"/>
        <w:spacing w:line="100" w:lineRule="exact"/>
        <w:ind w:firstLineChars="0" w:firstLine="0"/>
        <w:rPr>
          <w:rFonts w:hint="eastAsia"/>
          <w:color w:val="auto"/>
          <w:lang w:val="de-DE"/>
        </w:rPr>
      </w:pPr>
    </w:p>
    <w:p w14:paraId="6CF23CEB" w14:textId="77777777" w:rsidR="00674399" w:rsidRDefault="00674399">
      <w:pPr>
        <w:pStyle w:val="af"/>
        <w:adjustRightInd w:val="0"/>
        <w:snapToGrid w:val="0"/>
        <w:spacing w:line="100" w:lineRule="exact"/>
        <w:ind w:firstLineChars="0" w:firstLine="0"/>
        <w:rPr>
          <w:rFonts w:hint="eastAsia"/>
          <w:color w:val="auto"/>
          <w:lang w:val="de-DE"/>
        </w:rPr>
      </w:pPr>
    </w:p>
    <w:p w14:paraId="0DC78890" w14:textId="77777777" w:rsidR="00674399" w:rsidRDefault="00674399">
      <w:pPr>
        <w:pStyle w:val="af"/>
        <w:adjustRightInd w:val="0"/>
        <w:snapToGrid w:val="0"/>
        <w:spacing w:line="100" w:lineRule="exact"/>
        <w:ind w:firstLineChars="0" w:firstLine="0"/>
        <w:rPr>
          <w:rFonts w:hint="eastAsia"/>
          <w:color w:val="auto"/>
          <w:lang w:val="de-DE"/>
        </w:rPr>
      </w:pPr>
    </w:p>
    <w:p w14:paraId="1AEC6E99" w14:textId="77777777" w:rsidR="00674399" w:rsidRDefault="00674399">
      <w:pPr>
        <w:pStyle w:val="af"/>
        <w:adjustRightInd w:val="0"/>
        <w:snapToGrid w:val="0"/>
        <w:spacing w:line="100" w:lineRule="exact"/>
        <w:ind w:firstLineChars="0" w:firstLine="0"/>
        <w:rPr>
          <w:rFonts w:hint="eastAsia"/>
          <w:color w:val="auto"/>
          <w:lang w:val="de-DE"/>
        </w:rPr>
      </w:pPr>
    </w:p>
    <w:p w14:paraId="09F6DDAD" w14:textId="77777777" w:rsidR="00674399" w:rsidRDefault="00674399">
      <w:pPr>
        <w:pStyle w:val="af"/>
        <w:adjustRightInd w:val="0"/>
        <w:snapToGrid w:val="0"/>
        <w:spacing w:line="100" w:lineRule="exact"/>
        <w:ind w:firstLineChars="0" w:firstLine="0"/>
        <w:rPr>
          <w:rFonts w:hint="eastAsia"/>
          <w:color w:val="auto"/>
          <w:lang w:val="de-DE"/>
        </w:rPr>
      </w:pPr>
    </w:p>
    <w:p w14:paraId="718794E7" w14:textId="77777777" w:rsidR="00674399" w:rsidRDefault="00674399">
      <w:pPr>
        <w:pStyle w:val="af"/>
        <w:adjustRightInd w:val="0"/>
        <w:snapToGrid w:val="0"/>
        <w:spacing w:line="100" w:lineRule="exact"/>
        <w:ind w:firstLineChars="0" w:firstLine="0"/>
        <w:rPr>
          <w:rFonts w:hint="eastAsia"/>
          <w:color w:val="auto"/>
          <w:lang w:val="de-DE"/>
        </w:rPr>
      </w:pPr>
    </w:p>
    <w:p w14:paraId="55C5F714" w14:textId="77777777" w:rsidR="00674399" w:rsidRDefault="00674399">
      <w:pPr>
        <w:pStyle w:val="af"/>
        <w:adjustRightInd w:val="0"/>
        <w:snapToGrid w:val="0"/>
        <w:spacing w:line="100" w:lineRule="exact"/>
        <w:ind w:firstLineChars="0" w:firstLine="0"/>
        <w:rPr>
          <w:rFonts w:hint="eastAsia"/>
          <w:color w:val="auto"/>
          <w:lang w:val="de-DE"/>
        </w:rPr>
      </w:pPr>
    </w:p>
    <w:p w14:paraId="64042EBA" w14:textId="77777777" w:rsidR="00674399" w:rsidRDefault="00674399">
      <w:pPr>
        <w:pStyle w:val="af"/>
        <w:adjustRightInd w:val="0"/>
        <w:snapToGrid w:val="0"/>
        <w:spacing w:line="100" w:lineRule="exact"/>
        <w:ind w:firstLineChars="0" w:firstLine="0"/>
        <w:rPr>
          <w:rFonts w:hint="eastAsia"/>
          <w:color w:val="auto"/>
          <w:lang w:val="de-DE"/>
        </w:rPr>
      </w:pPr>
    </w:p>
    <w:p w14:paraId="1DC06412" w14:textId="77777777" w:rsidR="00674399" w:rsidRDefault="00674399">
      <w:pPr>
        <w:pStyle w:val="af"/>
        <w:adjustRightInd w:val="0"/>
        <w:snapToGrid w:val="0"/>
        <w:spacing w:line="100" w:lineRule="exact"/>
        <w:ind w:firstLineChars="0" w:firstLine="0"/>
        <w:rPr>
          <w:rFonts w:hint="eastAsia"/>
          <w:color w:val="auto"/>
          <w:lang w:val="de-DE"/>
        </w:rPr>
      </w:pPr>
    </w:p>
    <w:p w14:paraId="69F5F92C" w14:textId="77777777" w:rsidR="00674399" w:rsidRDefault="00674399">
      <w:pPr>
        <w:pStyle w:val="af"/>
        <w:adjustRightInd w:val="0"/>
        <w:snapToGrid w:val="0"/>
        <w:spacing w:line="100" w:lineRule="exact"/>
        <w:ind w:firstLineChars="0" w:firstLine="0"/>
        <w:rPr>
          <w:rFonts w:hint="eastAsia"/>
          <w:color w:val="auto"/>
          <w:lang w:val="de-DE"/>
        </w:rPr>
      </w:pPr>
    </w:p>
    <w:p w14:paraId="0815E54B" w14:textId="77777777" w:rsidR="00674399" w:rsidRDefault="00674399">
      <w:pPr>
        <w:pStyle w:val="af"/>
        <w:adjustRightInd w:val="0"/>
        <w:snapToGrid w:val="0"/>
        <w:spacing w:line="100" w:lineRule="exact"/>
        <w:ind w:firstLineChars="0" w:firstLine="0"/>
        <w:rPr>
          <w:rFonts w:hint="eastAsia"/>
          <w:color w:val="auto"/>
          <w:lang w:val="de-DE"/>
        </w:rPr>
      </w:pPr>
    </w:p>
    <w:p w14:paraId="1D3DFCF8" w14:textId="77777777" w:rsidR="00674399" w:rsidRDefault="00674399">
      <w:pPr>
        <w:pStyle w:val="af"/>
        <w:adjustRightInd w:val="0"/>
        <w:snapToGrid w:val="0"/>
        <w:spacing w:line="100" w:lineRule="exact"/>
        <w:ind w:firstLineChars="0" w:firstLine="0"/>
        <w:rPr>
          <w:rFonts w:hint="eastAsia"/>
          <w:color w:val="auto"/>
          <w:lang w:val="de-DE"/>
        </w:rPr>
      </w:pPr>
    </w:p>
    <w:p w14:paraId="2F35D9E9" w14:textId="77777777" w:rsidR="00674399" w:rsidRDefault="00674399">
      <w:pPr>
        <w:pStyle w:val="af"/>
        <w:adjustRightInd w:val="0"/>
        <w:snapToGrid w:val="0"/>
        <w:spacing w:line="100" w:lineRule="exact"/>
        <w:ind w:firstLineChars="0" w:firstLine="0"/>
        <w:rPr>
          <w:rFonts w:hint="eastAsia"/>
          <w:color w:val="auto"/>
          <w:lang w:val="de-DE"/>
        </w:rPr>
      </w:pPr>
    </w:p>
    <w:p w14:paraId="2AEB6DE9" w14:textId="77777777" w:rsidR="00674399" w:rsidRDefault="00674399">
      <w:pPr>
        <w:pStyle w:val="af"/>
        <w:adjustRightInd w:val="0"/>
        <w:snapToGrid w:val="0"/>
        <w:spacing w:line="100" w:lineRule="exact"/>
        <w:ind w:firstLineChars="0" w:firstLine="0"/>
        <w:rPr>
          <w:rFonts w:hint="eastAsia"/>
          <w:color w:val="auto"/>
          <w:lang w:val="de-DE"/>
        </w:rPr>
      </w:pPr>
    </w:p>
    <w:p w14:paraId="5F26772B" w14:textId="77777777" w:rsidR="00674399" w:rsidRDefault="00674399">
      <w:pPr>
        <w:pStyle w:val="af"/>
        <w:adjustRightInd w:val="0"/>
        <w:snapToGrid w:val="0"/>
        <w:spacing w:line="100" w:lineRule="exact"/>
        <w:ind w:firstLineChars="0" w:firstLine="0"/>
        <w:rPr>
          <w:rFonts w:hint="eastAsia"/>
          <w:color w:val="auto"/>
          <w:lang w:val="de-DE"/>
        </w:rPr>
      </w:pPr>
    </w:p>
    <w:p w14:paraId="1F8822AD" w14:textId="77777777" w:rsidR="00674399" w:rsidRDefault="00674399">
      <w:pPr>
        <w:pStyle w:val="af"/>
        <w:adjustRightInd w:val="0"/>
        <w:snapToGrid w:val="0"/>
        <w:spacing w:line="100" w:lineRule="exact"/>
        <w:ind w:firstLineChars="0" w:firstLine="0"/>
        <w:rPr>
          <w:rFonts w:hint="eastAsia"/>
          <w:color w:val="auto"/>
          <w:lang w:val="de-DE"/>
        </w:rPr>
      </w:pPr>
    </w:p>
    <w:p w14:paraId="52A39F1E" w14:textId="77777777" w:rsidR="00674399" w:rsidRDefault="00674399">
      <w:pPr>
        <w:pStyle w:val="af"/>
        <w:adjustRightInd w:val="0"/>
        <w:snapToGrid w:val="0"/>
        <w:spacing w:line="100" w:lineRule="exact"/>
        <w:ind w:firstLineChars="0" w:firstLine="0"/>
        <w:rPr>
          <w:rFonts w:hint="eastAsia"/>
          <w:color w:val="auto"/>
          <w:lang w:val="de-DE"/>
        </w:rPr>
      </w:pPr>
    </w:p>
    <w:p w14:paraId="3597689C" w14:textId="77777777" w:rsidR="00674399" w:rsidRDefault="00674399">
      <w:pPr>
        <w:pStyle w:val="af"/>
        <w:adjustRightInd w:val="0"/>
        <w:snapToGrid w:val="0"/>
        <w:spacing w:line="100" w:lineRule="exact"/>
        <w:ind w:firstLineChars="0" w:firstLine="0"/>
        <w:rPr>
          <w:rFonts w:hint="eastAsia"/>
          <w:color w:val="auto"/>
          <w:lang w:val="de-DE"/>
        </w:rPr>
      </w:pPr>
    </w:p>
    <w:p w14:paraId="2F9B9E23" w14:textId="77777777" w:rsidR="00674399" w:rsidRDefault="00674399">
      <w:pPr>
        <w:pStyle w:val="af"/>
        <w:adjustRightInd w:val="0"/>
        <w:snapToGrid w:val="0"/>
        <w:spacing w:line="100" w:lineRule="exact"/>
        <w:ind w:firstLineChars="0" w:firstLine="0"/>
        <w:rPr>
          <w:rFonts w:hint="eastAsia"/>
          <w:color w:val="auto"/>
          <w:lang w:val="de-DE"/>
        </w:rPr>
      </w:pPr>
    </w:p>
    <w:p w14:paraId="671DB684" w14:textId="77777777" w:rsidR="00674399" w:rsidRDefault="00674399">
      <w:pPr>
        <w:pStyle w:val="af"/>
        <w:adjustRightInd w:val="0"/>
        <w:snapToGrid w:val="0"/>
        <w:spacing w:line="100" w:lineRule="exact"/>
        <w:ind w:firstLineChars="0" w:firstLine="0"/>
        <w:rPr>
          <w:rFonts w:hint="eastAsia"/>
          <w:color w:val="auto"/>
          <w:lang w:val="de-DE"/>
        </w:rPr>
      </w:pPr>
    </w:p>
    <w:p w14:paraId="1923A9D3" w14:textId="77777777" w:rsidR="00674399" w:rsidRDefault="00674399">
      <w:pPr>
        <w:pStyle w:val="af"/>
        <w:adjustRightInd w:val="0"/>
        <w:snapToGrid w:val="0"/>
        <w:spacing w:line="100" w:lineRule="exact"/>
        <w:ind w:firstLineChars="0" w:firstLine="0"/>
        <w:rPr>
          <w:rFonts w:hint="eastAsia"/>
          <w:color w:val="auto"/>
          <w:lang w:val="de-DE"/>
        </w:rPr>
      </w:pPr>
    </w:p>
    <w:p w14:paraId="5E45BE94" w14:textId="77777777" w:rsidR="00674399" w:rsidRDefault="00674399">
      <w:pPr>
        <w:pStyle w:val="af"/>
        <w:adjustRightInd w:val="0"/>
        <w:snapToGrid w:val="0"/>
        <w:spacing w:line="100" w:lineRule="exact"/>
        <w:ind w:firstLineChars="0" w:firstLine="0"/>
        <w:rPr>
          <w:rFonts w:hint="eastAsia"/>
          <w:color w:val="auto"/>
          <w:lang w:val="de-DE"/>
        </w:rPr>
      </w:pPr>
    </w:p>
    <w:p w14:paraId="594E5CB3" w14:textId="77777777" w:rsidR="00674399" w:rsidRDefault="00674399">
      <w:pPr>
        <w:pStyle w:val="af"/>
        <w:adjustRightInd w:val="0"/>
        <w:snapToGrid w:val="0"/>
        <w:spacing w:line="100" w:lineRule="exact"/>
        <w:ind w:firstLineChars="0" w:firstLine="0"/>
        <w:rPr>
          <w:rFonts w:hint="eastAsia"/>
          <w:color w:val="auto"/>
          <w:lang w:val="de-DE"/>
        </w:rPr>
      </w:pPr>
    </w:p>
    <w:p w14:paraId="1767C32C" w14:textId="77777777" w:rsidR="00674399" w:rsidRDefault="00674399">
      <w:pPr>
        <w:pStyle w:val="af"/>
        <w:adjustRightInd w:val="0"/>
        <w:snapToGrid w:val="0"/>
        <w:spacing w:line="100" w:lineRule="exact"/>
        <w:ind w:firstLineChars="0" w:firstLine="0"/>
        <w:rPr>
          <w:rFonts w:hint="eastAsia"/>
          <w:color w:val="auto"/>
          <w:lang w:val="de-DE"/>
        </w:rPr>
      </w:pPr>
    </w:p>
    <w:p w14:paraId="1D98CFF7" w14:textId="77777777" w:rsidR="00674399" w:rsidRDefault="00674399">
      <w:pPr>
        <w:pStyle w:val="af"/>
        <w:adjustRightInd w:val="0"/>
        <w:snapToGrid w:val="0"/>
        <w:spacing w:line="100" w:lineRule="exact"/>
        <w:ind w:firstLineChars="0" w:firstLine="0"/>
        <w:rPr>
          <w:rFonts w:hint="eastAsia"/>
          <w:color w:val="auto"/>
          <w:lang w:val="de-DE"/>
        </w:rPr>
      </w:pPr>
    </w:p>
    <w:p w14:paraId="4384230D" w14:textId="77777777" w:rsidR="00674399" w:rsidRDefault="00674399">
      <w:pPr>
        <w:pStyle w:val="af"/>
        <w:adjustRightInd w:val="0"/>
        <w:snapToGrid w:val="0"/>
        <w:spacing w:line="100" w:lineRule="exact"/>
        <w:ind w:firstLineChars="0" w:firstLine="0"/>
        <w:rPr>
          <w:rFonts w:hint="eastAsia"/>
          <w:color w:val="auto"/>
          <w:lang w:val="de-DE"/>
        </w:rPr>
      </w:pPr>
    </w:p>
    <w:p w14:paraId="5F2955FF" w14:textId="77777777" w:rsidR="00674399" w:rsidRDefault="00674399">
      <w:pPr>
        <w:pStyle w:val="af"/>
        <w:adjustRightInd w:val="0"/>
        <w:snapToGrid w:val="0"/>
        <w:spacing w:line="100" w:lineRule="exact"/>
        <w:ind w:firstLineChars="0" w:firstLine="0"/>
        <w:rPr>
          <w:rFonts w:hint="eastAsia"/>
          <w:color w:val="auto"/>
          <w:lang w:val="de-DE"/>
        </w:rPr>
      </w:pPr>
    </w:p>
    <w:p w14:paraId="741E38EF" w14:textId="77777777" w:rsidR="00674399" w:rsidRDefault="00674399">
      <w:pPr>
        <w:pStyle w:val="af"/>
        <w:adjustRightInd w:val="0"/>
        <w:snapToGrid w:val="0"/>
        <w:spacing w:line="100" w:lineRule="exact"/>
        <w:ind w:firstLineChars="0" w:firstLine="0"/>
        <w:rPr>
          <w:rFonts w:hint="eastAsia"/>
          <w:color w:val="auto"/>
          <w:lang w:val="de-DE"/>
        </w:rPr>
      </w:pPr>
    </w:p>
    <w:p w14:paraId="6539D9C2" w14:textId="77777777" w:rsidR="00674399" w:rsidRDefault="00674399">
      <w:pPr>
        <w:pStyle w:val="af"/>
        <w:adjustRightInd w:val="0"/>
        <w:snapToGrid w:val="0"/>
        <w:spacing w:line="100" w:lineRule="exact"/>
        <w:ind w:firstLineChars="0" w:firstLine="0"/>
        <w:rPr>
          <w:rFonts w:hint="eastAsia"/>
          <w:color w:val="auto"/>
          <w:lang w:val="de-DE"/>
        </w:rPr>
      </w:pPr>
    </w:p>
    <w:p w14:paraId="77A9FD79" w14:textId="77777777" w:rsidR="00674399" w:rsidRDefault="00674399">
      <w:pPr>
        <w:pStyle w:val="af"/>
        <w:adjustRightInd w:val="0"/>
        <w:snapToGrid w:val="0"/>
        <w:spacing w:line="100" w:lineRule="exact"/>
        <w:ind w:firstLineChars="0" w:firstLine="0"/>
        <w:rPr>
          <w:rFonts w:hint="eastAsia"/>
          <w:color w:val="auto"/>
          <w:lang w:val="de-DE"/>
        </w:rPr>
      </w:pPr>
    </w:p>
    <w:p w14:paraId="6AB332DE" w14:textId="77777777" w:rsidR="00674399" w:rsidRDefault="00674399">
      <w:pPr>
        <w:pStyle w:val="af"/>
        <w:adjustRightInd w:val="0"/>
        <w:snapToGrid w:val="0"/>
        <w:spacing w:line="100" w:lineRule="exact"/>
        <w:ind w:firstLineChars="0" w:firstLine="0"/>
        <w:rPr>
          <w:rFonts w:hint="eastAsia"/>
          <w:color w:val="auto"/>
          <w:lang w:val="de-DE"/>
        </w:rPr>
      </w:pPr>
    </w:p>
    <w:p w14:paraId="4ECB2CA9" w14:textId="77777777" w:rsidR="00674399" w:rsidRDefault="00674399">
      <w:pPr>
        <w:pStyle w:val="af"/>
        <w:adjustRightInd w:val="0"/>
        <w:snapToGrid w:val="0"/>
        <w:spacing w:line="100" w:lineRule="exact"/>
        <w:ind w:firstLineChars="0" w:firstLine="0"/>
        <w:rPr>
          <w:rFonts w:hint="eastAsia"/>
          <w:color w:val="auto"/>
          <w:lang w:val="de-DE"/>
        </w:rPr>
      </w:pPr>
    </w:p>
    <w:p w14:paraId="4FD4391D" w14:textId="77777777" w:rsidR="00674399" w:rsidRDefault="00674399">
      <w:pPr>
        <w:pStyle w:val="af"/>
        <w:adjustRightInd w:val="0"/>
        <w:snapToGrid w:val="0"/>
        <w:spacing w:line="100" w:lineRule="exact"/>
        <w:ind w:firstLineChars="0" w:firstLine="0"/>
        <w:rPr>
          <w:rFonts w:hint="eastAsia"/>
          <w:color w:val="auto"/>
          <w:lang w:val="de-DE"/>
        </w:rPr>
      </w:pPr>
    </w:p>
    <w:p w14:paraId="67B5D8A4" w14:textId="77777777" w:rsidR="00674399" w:rsidRDefault="00674399">
      <w:pPr>
        <w:pStyle w:val="af"/>
        <w:adjustRightInd w:val="0"/>
        <w:snapToGrid w:val="0"/>
        <w:spacing w:line="100" w:lineRule="exact"/>
        <w:ind w:firstLineChars="0" w:firstLine="0"/>
        <w:rPr>
          <w:rFonts w:hint="eastAsia"/>
          <w:color w:val="auto"/>
          <w:lang w:val="de-DE"/>
        </w:rPr>
      </w:pPr>
    </w:p>
    <w:p w14:paraId="53613BA7" w14:textId="77777777" w:rsidR="00674399" w:rsidRDefault="00674399">
      <w:pPr>
        <w:pStyle w:val="af"/>
        <w:adjustRightInd w:val="0"/>
        <w:snapToGrid w:val="0"/>
        <w:spacing w:line="100" w:lineRule="exact"/>
        <w:ind w:firstLineChars="0" w:firstLine="0"/>
        <w:rPr>
          <w:rFonts w:hint="eastAsia"/>
          <w:color w:val="auto"/>
          <w:lang w:val="de-DE"/>
        </w:rPr>
      </w:pPr>
    </w:p>
    <w:p w14:paraId="6C6123D3" w14:textId="77777777" w:rsidR="00674399" w:rsidRDefault="00674399">
      <w:pPr>
        <w:pStyle w:val="af"/>
        <w:adjustRightInd w:val="0"/>
        <w:snapToGrid w:val="0"/>
        <w:spacing w:line="100" w:lineRule="exact"/>
        <w:ind w:firstLineChars="0" w:firstLine="0"/>
        <w:rPr>
          <w:rFonts w:hint="eastAsia"/>
          <w:color w:val="auto"/>
          <w:lang w:val="de-DE"/>
        </w:rPr>
      </w:pPr>
    </w:p>
    <w:p w14:paraId="12FA660E" w14:textId="77777777" w:rsidR="00674399" w:rsidRDefault="00674399">
      <w:pPr>
        <w:pStyle w:val="af"/>
        <w:adjustRightInd w:val="0"/>
        <w:snapToGrid w:val="0"/>
        <w:spacing w:line="100" w:lineRule="exact"/>
        <w:ind w:firstLineChars="0" w:firstLine="0"/>
        <w:rPr>
          <w:rFonts w:hint="eastAsia"/>
          <w:color w:val="auto"/>
          <w:lang w:val="de-DE"/>
        </w:rPr>
      </w:pPr>
    </w:p>
    <w:p w14:paraId="077C5A23" w14:textId="77777777" w:rsidR="00674399" w:rsidRDefault="00674399">
      <w:pPr>
        <w:pStyle w:val="af"/>
        <w:adjustRightInd w:val="0"/>
        <w:snapToGrid w:val="0"/>
        <w:spacing w:line="100" w:lineRule="exact"/>
        <w:ind w:firstLineChars="0" w:firstLine="0"/>
        <w:rPr>
          <w:rFonts w:hint="eastAsia"/>
          <w:color w:val="auto"/>
          <w:lang w:val="de-DE"/>
        </w:rPr>
      </w:pPr>
    </w:p>
    <w:p w14:paraId="0B2FE0F8" w14:textId="77777777" w:rsidR="00674399" w:rsidRDefault="00674399">
      <w:pPr>
        <w:pStyle w:val="af"/>
        <w:adjustRightInd w:val="0"/>
        <w:snapToGrid w:val="0"/>
        <w:spacing w:line="100" w:lineRule="exact"/>
        <w:ind w:firstLineChars="0" w:firstLine="0"/>
        <w:rPr>
          <w:rFonts w:hint="eastAsia"/>
          <w:color w:val="auto"/>
          <w:lang w:val="de-DE"/>
        </w:rPr>
      </w:pPr>
    </w:p>
    <w:p w14:paraId="6EC63864" w14:textId="77777777" w:rsidR="00674399" w:rsidRDefault="00674399">
      <w:pPr>
        <w:pStyle w:val="af"/>
        <w:adjustRightInd w:val="0"/>
        <w:snapToGrid w:val="0"/>
        <w:spacing w:line="100" w:lineRule="exact"/>
        <w:ind w:firstLineChars="0" w:firstLine="0"/>
        <w:rPr>
          <w:rFonts w:hint="eastAsia"/>
          <w:color w:val="auto"/>
          <w:lang w:val="de-DE"/>
        </w:rPr>
      </w:pPr>
    </w:p>
    <w:p w14:paraId="63732295" w14:textId="77777777" w:rsidR="00674399" w:rsidRDefault="00674399">
      <w:pPr>
        <w:pStyle w:val="af"/>
        <w:adjustRightInd w:val="0"/>
        <w:snapToGrid w:val="0"/>
        <w:spacing w:line="100" w:lineRule="exact"/>
        <w:ind w:firstLineChars="0" w:firstLine="0"/>
        <w:rPr>
          <w:rFonts w:hint="eastAsia"/>
          <w:color w:val="auto"/>
          <w:lang w:val="de-DE"/>
        </w:rPr>
      </w:pPr>
    </w:p>
    <w:p w14:paraId="79B5C5EE" w14:textId="77777777" w:rsidR="00674399" w:rsidRDefault="00674399">
      <w:pPr>
        <w:pStyle w:val="af"/>
        <w:adjustRightInd w:val="0"/>
        <w:snapToGrid w:val="0"/>
        <w:spacing w:line="100" w:lineRule="exact"/>
        <w:ind w:firstLineChars="0" w:firstLine="0"/>
        <w:rPr>
          <w:rFonts w:hint="eastAsia"/>
          <w:color w:val="auto"/>
          <w:lang w:val="de-DE"/>
        </w:rPr>
      </w:pPr>
    </w:p>
    <w:p w14:paraId="0FBA47C1" w14:textId="77777777" w:rsidR="00674399" w:rsidRDefault="00674399">
      <w:pPr>
        <w:pStyle w:val="af"/>
        <w:adjustRightInd w:val="0"/>
        <w:snapToGrid w:val="0"/>
        <w:spacing w:line="560" w:lineRule="exact"/>
        <w:ind w:firstLineChars="0" w:firstLine="0"/>
        <w:rPr>
          <w:rFonts w:hint="eastAsia"/>
          <w:color w:val="auto"/>
          <w:lang w:val="de-DE"/>
        </w:rPr>
      </w:pPr>
    </w:p>
    <w:p w14:paraId="24AEA93C" w14:textId="77777777" w:rsidR="00674399" w:rsidRDefault="00000000">
      <w:pPr>
        <w:pBdr>
          <w:top w:val="single" w:sz="4" w:space="1" w:color="auto"/>
          <w:bottom w:val="single" w:sz="4" w:space="1" w:color="auto"/>
        </w:pBdr>
        <w:spacing w:line="560" w:lineRule="exact"/>
        <w:rPr>
          <w:rFonts w:ascii="仿宋_GB2312" w:eastAsia="仿宋_GB2312" w:hAnsi="仿宋" w:cs="仿宋" w:hint="eastAsia"/>
          <w:sz w:val="28"/>
          <w:szCs w:val="28"/>
        </w:rPr>
      </w:pPr>
      <w:r>
        <w:rPr>
          <w:rFonts w:ascii="仿宋_GB2312" w:eastAsia="仿宋_GB2312" w:hAnsi="黑体" w:cs="黑体" w:hint="eastAsia"/>
          <w:sz w:val="28"/>
          <w:szCs w:val="28"/>
        </w:rPr>
        <w:t>抄送：</w:t>
      </w:r>
      <w:r>
        <w:rPr>
          <w:rFonts w:ascii="仿宋_GB2312" w:eastAsia="仿宋_GB2312" w:hAnsi="仿宋" w:cs="仿宋" w:hint="eastAsia"/>
          <w:sz w:val="28"/>
          <w:szCs w:val="28"/>
        </w:rPr>
        <w:t>常德市生态环境局汉寿分局、湖南志</w:t>
      </w:r>
      <w:proofErr w:type="gramStart"/>
      <w:r>
        <w:rPr>
          <w:rFonts w:ascii="仿宋_GB2312" w:eastAsia="仿宋_GB2312" w:hAnsi="仿宋" w:cs="仿宋" w:hint="eastAsia"/>
          <w:sz w:val="28"/>
          <w:szCs w:val="28"/>
        </w:rPr>
        <w:t>远环境</w:t>
      </w:r>
      <w:proofErr w:type="gramEnd"/>
      <w:r>
        <w:rPr>
          <w:rFonts w:ascii="仿宋_GB2312" w:eastAsia="仿宋_GB2312" w:hAnsi="仿宋" w:cs="仿宋" w:hint="eastAsia"/>
          <w:sz w:val="28"/>
          <w:szCs w:val="28"/>
        </w:rPr>
        <w:t>咨询服务有限公司</w:t>
      </w:r>
    </w:p>
    <w:sectPr w:rsidR="00674399">
      <w:footerReference w:type="even" r:id="rId6"/>
      <w:footerReference w:type="default" r:id="rId7"/>
      <w:pgSz w:w="11906" w:h="16838"/>
      <w:pgMar w:top="2098" w:right="1474" w:bottom="1701"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39FE" w14:textId="77777777" w:rsidR="006A64D7" w:rsidRDefault="006A64D7">
      <w:r>
        <w:separator/>
      </w:r>
    </w:p>
  </w:endnote>
  <w:endnote w:type="continuationSeparator" w:id="0">
    <w:p w14:paraId="37954535" w14:textId="77777777" w:rsidR="006A64D7" w:rsidRDefault="006A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77E61679-A953-4A2A-97F2-FA29B8CAA00B}"/>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425D" w14:textId="77777777" w:rsidR="00674399" w:rsidRDefault="00000000">
    <w:pPr>
      <w:pStyle w:val="a9"/>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14:paraId="71638E6D" w14:textId="77777777" w:rsidR="00674399" w:rsidRDefault="00674399">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1A9F" w14:textId="77777777" w:rsidR="00674399" w:rsidRDefault="00000000">
    <w:pPr>
      <w:pStyle w:val="a9"/>
      <w:framePr w:wrap="around" w:vAnchor="text" w:hAnchor="margin" w:xAlign="outside" w:y="1"/>
      <w:rPr>
        <w:rStyle w:val="ad"/>
      </w:rPr>
    </w:pPr>
    <w:r>
      <w:rPr>
        <w:rStyle w:val="ad"/>
        <w:rFonts w:ascii="宋体" w:hAnsi="宋体" w:cs="宋体" w:hint="eastAsia"/>
        <w:sz w:val="28"/>
        <w:szCs w:val="28"/>
      </w:rPr>
      <w:fldChar w:fldCharType="begin"/>
    </w:r>
    <w:r>
      <w:rPr>
        <w:rStyle w:val="ad"/>
        <w:rFonts w:ascii="宋体" w:hAnsi="宋体" w:cs="宋体" w:hint="eastAsia"/>
        <w:sz w:val="28"/>
        <w:szCs w:val="28"/>
      </w:rPr>
      <w:instrText xml:space="preserve">PAGE  </w:instrText>
    </w:r>
    <w:r>
      <w:rPr>
        <w:rStyle w:val="ad"/>
        <w:rFonts w:ascii="宋体" w:hAnsi="宋体" w:cs="宋体" w:hint="eastAsia"/>
        <w:sz w:val="28"/>
        <w:szCs w:val="28"/>
      </w:rPr>
      <w:fldChar w:fldCharType="separate"/>
    </w:r>
    <w:r>
      <w:rPr>
        <w:rStyle w:val="ad"/>
        <w:rFonts w:ascii="宋体" w:hAnsi="宋体" w:cs="宋体" w:hint="eastAsia"/>
        <w:sz w:val="28"/>
        <w:szCs w:val="28"/>
      </w:rPr>
      <w:t>- 3 -</w:t>
    </w:r>
    <w:r>
      <w:rPr>
        <w:rStyle w:val="ad"/>
        <w:rFonts w:ascii="宋体" w:hAnsi="宋体" w:cs="宋体" w:hint="eastAsia"/>
        <w:sz w:val="28"/>
        <w:szCs w:val="28"/>
      </w:rPr>
      <w:fldChar w:fldCharType="end"/>
    </w:r>
  </w:p>
  <w:p w14:paraId="40A82394" w14:textId="77777777" w:rsidR="00674399" w:rsidRDefault="00674399">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E742" w14:textId="77777777" w:rsidR="006A64D7" w:rsidRDefault="006A64D7">
      <w:r>
        <w:separator/>
      </w:r>
    </w:p>
  </w:footnote>
  <w:footnote w:type="continuationSeparator" w:id="0">
    <w:p w14:paraId="757CFAE9" w14:textId="77777777" w:rsidR="006A64D7" w:rsidRDefault="006A6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ZkYmRiOWU0YTUxMDc4YTA5NzNmZTQ5NTViYTU5ZGUifQ=="/>
  </w:docVars>
  <w:rsids>
    <w:rsidRoot w:val="004C3807"/>
    <w:rsid w:val="D377BEAF"/>
    <w:rsid w:val="D3F9BBC3"/>
    <w:rsid w:val="EF6B7E4B"/>
    <w:rsid w:val="F5FD10FD"/>
    <w:rsid w:val="FF7FEABA"/>
    <w:rsid w:val="00052B72"/>
    <w:rsid w:val="001643DB"/>
    <w:rsid w:val="0024268E"/>
    <w:rsid w:val="00256BE7"/>
    <w:rsid w:val="00294C82"/>
    <w:rsid w:val="002F4BC5"/>
    <w:rsid w:val="00367CA3"/>
    <w:rsid w:val="003B2CB4"/>
    <w:rsid w:val="003B7465"/>
    <w:rsid w:val="004338BE"/>
    <w:rsid w:val="00474B02"/>
    <w:rsid w:val="00494704"/>
    <w:rsid w:val="004C3807"/>
    <w:rsid w:val="00517C95"/>
    <w:rsid w:val="00520ABA"/>
    <w:rsid w:val="0055308C"/>
    <w:rsid w:val="00674399"/>
    <w:rsid w:val="006A64D7"/>
    <w:rsid w:val="007F0D6F"/>
    <w:rsid w:val="00954B07"/>
    <w:rsid w:val="00980215"/>
    <w:rsid w:val="009D52F8"/>
    <w:rsid w:val="009F1E91"/>
    <w:rsid w:val="00A053AF"/>
    <w:rsid w:val="00AA67D1"/>
    <w:rsid w:val="00AE2DFB"/>
    <w:rsid w:val="00B26FE0"/>
    <w:rsid w:val="00B4606A"/>
    <w:rsid w:val="00BB4A01"/>
    <w:rsid w:val="00BC2411"/>
    <w:rsid w:val="00C1670E"/>
    <w:rsid w:val="00C64152"/>
    <w:rsid w:val="00D07058"/>
    <w:rsid w:val="00D44E2E"/>
    <w:rsid w:val="00D81985"/>
    <w:rsid w:val="00DC7C66"/>
    <w:rsid w:val="00ED4B49"/>
    <w:rsid w:val="00EE25C6"/>
    <w:rsid w:val="00EE45FE"/>
    <w:rsid w:val="00FE48CE"/>
    <w:rsid w:val="019D2E17"/>
    <w:rsid w:val="0471197A"/>
    <w:rsid w:val="049B749C"/>
    <w:rsid w:val="04C17279"/>
    <w:rsid w:val="067909BE"/>
    <w:rsid w:val="068D396D"/>
    <w:rsid w:val="085B5DA7"/>
    <w:rsid w:val="08805C64"/>
    <w:rsid w:val="092C1016"/>
    <w:rsid w:val="0B8E1003"/>
    <w:rsid w:val="0BBF7829"/>
    <w:rsid w:val="0E9B0A2A"/>
    <w:rsid w:val="1126110E"/>
    <w:rsid w:val="124E5F25"/>
    <w:rsid w:val="132C04A0"/>
    <w:rsid w:val="1389765F"/>
    <w:rsid w:val="13C40841"/>
    <w:rsid w:val="14593115"/>
    <w:rsid w:val="151450B7"/>
    <w:rsid w:val="184B0995"/>
    <w:rsid w:val="1B410951"/>
    <w:rsid w:val="1F23128A"/>
    <w:rsid w:val="1F505606"/>
    <w:rsid w:val="22DB168B"/>
    <w:rsid w:val="243928EC"/>
    <w:rsid w:val="29C2251B"/>
    <w:rsid w:val="2E58221E"/>
    <w:rsid w:val="31487777"/>
    <w:rsid w:val="31F82F6C"/>
    <w:rsid w:val="35583FF8"/>
    <w:rsid w:val="388C54AA"/>
    <w:rsid w:val="39020885"/>
    <w:rsid w:val="390B0F12"/>
    <w:rsid w:val="39AC38C4"/>
    <w:rsid w:val="3BE5048C"/>
    <w:rsid w:val="3C3B0C93"/>
    <w:rsid w:val="3D2350D0"/>
    <w:rsid w:val="3E960017"/>
    <w:rsid w:val="3F7430CF"/>
    <w:rsid w:val="430106B5"/>
    <w:rsid w:val="43FE4A9D"/>
    <w:rsid w:val="46F54F5C"/>
    <w:rsid w:val="471C1A20"/>
    <w:rsid w:val="4B923A9F"/>
    <w:rsid w:val="4C1635B0"/>
    <w:rsid w:val="4C47F0AA"/>
    <w:rsid w:val="51087240"/>
    <w:rsid w:val="515D57DD"/>
    <w:rsid w:val="52D80D7C"/>
    <w:rsid w:val="54DD1BEE"/>
    <w:rsid w:val="55401D6C"/>
    <w:rsid w:val="56BF010F"/>
    <w:rsid w:val="57E656DA"/>
    <w:rsid w:val="58794B99"/>
    <w:rsid w:val="58941929"/>
    <w:rsid w:val="58BD3CAD"/>
    <w:rsid w:val="5A4B21CC"/>
    <w:rsid w:val="5E23390B"/>
    <w:rsid w:val="61C34958"/>
    <w:rsid w:val="61DF3A9F"/>
    <w:rsid w:val="63D27752"/>
    <w:rsid w:val="65283AEE"/>
    <w:rsid w:val="68EC261D"/>
    <w:rsid w:val="690278D7"/>
    <w:rsid w:val="69A749A9"/>
    <w:rsid w:val="6AA50A05"/>
    <w:rsid w:val="6B1220D6"/>
    <w:rsid w:val="6B1453A3"/>
    <w:rsid w:val="6C8308EA"/>
    <w:rsid w:val="70C97788"/>
    <w:rsid w:val="717B6032"/>
    <w:rsid w:val="71AF7042"/>
    <w:rsid w:val="73616252"/>
    <w:rsid w:val="76F96259"/>
    <w:rsid w:val="7ADD79B9"/>
    <w:rsid w:val="7BBA5457"/>
    <w:rsid w:val="7CD843B5"/>
    <w:rsid w:val="7D046C66"/>
    <w:rsid w:val="7FDF4661"/>
    <w:rsid w:val="7FE753AE"/>
    <w:rsid w:val="9CF7A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B273277-3B0E-4EEE-B9C3-9F563A3A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Calibri" w:hAnsi="Calibri"/>
      <w:szCs w:val="20"/>
    </w:rPr>
  </w:style>
  <w:style w:type="paragraph" w:styleId="a4">
    <w:name w:val="Body Text"/>
    <w:basedOn w:val="a"/>
    <w:next w:val="xl27"/>
    <w:qFormat/>
    <w:rPr>
      <w:rFonts w:ascii="仿宋" w:eastAsia="仿宋" w:hAnsi="仿宋" w:cs="仿宋"/>
      <w:sz w:val="31"/>
      <w:szCs w:val="31"/>
      <w:lang w:eastAsia="en-US"/>
    </w:r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Body Text Indent"/>
    <w:basedOn w:val="a"/>
    <w:next w:val="a7"/>
    <w:qFormat/>
    <w:pPr>
      <w:spacing w:after="120"/>
      <w:ind w:leftChars="200" w:left="420"/>
    </w:pPr>
  </w:style>
  <w:style w:type="paragraph" w:styleId="a7">
    <w:name w:val="envelope return"/>
    <w:basedOn w:val="a"/>
    <w:qFormat/>
    <w:pPr>
      <w:snapToGrid w:val="0"/>
    </w:pPr>
    <w:rPr>
      <w:rFonts w:ascii="Arial" w:hAnsi="Arial" w:cs="Arial"/>
      <w:szCs w:val="20"/>
    </w:rPr>
  </w:style>
  <w:style w:type="paragraph" w:styleId="a8">
    <w:name w:val="Plain Text"/>
    <w:basedOn w:val="a"/>
    <w:next w:val="a"/>
    <w:qFormat/>
    <w:pPr>
      <w:tabs>
        <w:tab w:val="left" w:pos="7380"/>
      </w:tabs>
      <w:spacing w:line="400" w:lineRule="exact"/>
      <w:jc w:val="center"/>
    </w:pPr>
    <w:rPr>
      <w:color w:val="000000"/>
      <w:kern w:val="21"/>
      <w:sz w:val="24"/>
      <w:szCs w:val="20"/>
      <w:lang w:val="de-DE"/>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2">
    <w:name w:val="Body Text 2"/>
    <w:basedOn w:val="a"/>
    <w:next w:val="a4"/>
    <w:link w:val="20"/>
    <w:qFormat/>
    <w:pPr>
      <w:spacing w:after="120" w:line="480" w:lineRule="auto"/>
    </w:pPr>
  </w:style>
  <w:style w:type="paragraph" w:styleId="ac">
    <w:name w:val="Body Text First Indent"/>
    <w:basedOn w:val="a"/>
    <w:qFormat/>
    <w:pPr>
      <w:spacing w:after="120"/>
      <w:ind w:firstLineChars="100" w:firstLine="420"/>
    </w:pPr>
  </w:style>
  <w:style w:type="paragraph" w:styleId="21">
    <w:name w:val="Body Text First Indent 2"/>
    <w:basedOn w:val="a6"/>
    <w:next w:val="ac"/>
    <w:qFormat/>
    <w:pPr>
      <w:ind w:firstLineChars="200" w:firstLine="420"/>
    </w:pPr>
  </w:style>
  <w:style w:type="character" w:styleId="ad">
    <w:name w:val="page number"/>
    <w:basedOn w:val="a1"/>
    <w:qFormat/>
  </w:style>
  <w:style w:type="character" w:customStyle="1" w:styleId="20">
    <w:name w:val="正文文本 2 字符"/>
    <w:link w:val="2"/>
    <w:qFormat/>
  </w:style>
  <w:style w:type="paragraph" w:customStyle="1" w:styleId="ae">
    <w:name w:val="（正文）"/>
    <w:basedOn w:val="a8"/>
    <w:next w:val="af"/>
    <w:qFormat/>
    <w:pPr>
      <w:spacing w:line="360" w:lineRule="auto"/>
      <w:ind w:firstLine="480"/>
    </w:pPr>
    <w:rPr>
      <w:rFonts w:ascii="仿宋" w:eastAsia="仿宋" w:hAnsi="仿宋" w:cs="仿宋"/>
    </w:rPr>
  </w:style>
  <w:style w:type="paragraph" w:customStyle="1" w:styleId="af">
    <w:name w:val="_正文"/>
    <w:qFormat/>
    <w:pPr>
      <w:spacing w:line="360" w:lineRule="auto"/>
      <w:ind w:firstLineChars="200" w:firstLine="560"/>
      <w:jc w:val="both"/>
    </w:pPr>
    <w:rPr>
      <w:rFonts w:ascii="宋体" w:hAnsi="宋体"/>
      <w:bCs/>
      <w:iCs/>
      <w:snapToGrid w:val="0"/>
      <w:color w:val="000000"/>
      <w:kern w:val="2"/>
      <w:sz w:val="28"/>
      <w:szCs w:val="28"/>
    </w:rPr>
  </w:style>
  <w:style w:type="character" w:customStyle="1" w:styleId="ab">
    <w:name w:val="页眉 字符"/>
    <w:basedOn w:val="a1"/>
    <w:link w:val="aa"/>
    <w:qFormat/>
    <w:rPr>
      <w:rFonts w:ascii="Times New Roman" w:hAnsi="Times New Roman"/>
      <w:kern w:val="2"/>
      <w:sz w:val="18"/>
      <w:szCs w:val="18"/>
    </w:rPr>
  </w:style>
  <w:style w:type="paragraph" w:customStyle="1" w:styleId="Bodytext1">
    <w:name w:val="Body text|1"/>
    <w:basedOn w:val="a"/>
    <w:qFormat/>
    <w:pPr>
      <w:spacing w:line="408"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1062</Characters>
  <Application>Microsoft Office Word</Application>
  <DocSecurity>0</DocSecurity>
  <Lines>70</Lines>
  <Paragraphs>23</Paragraphs>
  <ScaleCrop>false</ScaleCrop>
  <Company>Microsoft</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Administrator.WQ-20151220QFPQ</dc:creator>
  <cp:lastModifiedBy>Guardian Tales</cp:lastModifiedBy>
  <cp:revision>2</cp:revision>
  <cp:lastPrinted>2025-07-25T08:15:00Z</cp:lastPrinted>
  <dcterms:created xsi:type="dcterms:W3CDTF">2026-01-26T01:57:00Z</dcterms:created>
  <dcterms:modified xsi:type="dcterms:W3CDTF">2026-01-26T01:57:00Z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498021DD1C9E46B69507B11E300FC575_13</vt:lpwstr>
  </property>
  <property fmtid="{D5CDD505-2E9C-101B-9397-08002B2CF9AE}" pid="4" name="KSOTemplateDocerSaveRecord">
    <vt:lpwstr>eyJoZGlkIjoiMjdjODFhMDIzOWJhNmU0OGNjZTQ1NTdhYTE4ZjBjZDgiLCJ1c2VySWQiOiIyNzA0MDE4ODkifQ==</vt:lpwstr>
  </property>
</Properties>
</file>