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8864" w14:textId="77777777" w:rsidR="00C263FD" w:rsidRDefault="00C263FD">
      <w:pPr>
        <w:pStyle w:val="a3"/>
        <w:wordWrap w:val="0"/>
        <w:topLinePunct/>
        <w:spacing w:line="1160" w:lineRule="exact"/>
        <w:jc w:val="right"/>
        <w:rPr>
          <w:rFonts w:ascii="仿宋_GB2312" w:eastAsia="仿宋_GB2312" w:hAnsi="仿宋_GB2312" w:cs="仿宋_GB2312" w:hint="eastAsia"/>
          <w:spacing w:val="2"/>
        </w:rPr>
      </w:pPr>
      <w:bookmarkStart w:id="0" w:name="content"/>
      <w:bookmarkStart w:id="1" w:name="quanwen"/>
      <w:bookmarkEnd w:id="0"/>
    </w:p>
    <w:p w14:paraId="793551A5" w14:textId="77777777" w:rsidR="00C263FD" w:rsidRDefault="00000000">
      <w:pPr>
        <w:pStyle w:val="a3"/>
        <w:wordWrap w:val="0"/>
        <w:topLinePunct/>
        <w:spacing w:before="101" w:line="224" w:lineRule="auto"/>
        <w:jc w:val="right"/>
        <w:rPr>
          <w:rFonts w:ascii="仿宋_GB2312" w:eastAsia="仿宋_GB2312" w:hAnsi="仿宋_GB2312" w:cs="仿宋_GB2312" w:hint="eastAsia"/>
          <w:spacing w:val="2"/>
        </w:rPr>
      </w:pPr>
      <w:r>
        <w:rPr>
          <w:rFonts w:ascii="仿宋_GB2312" w:eastAsia="仿宋_GB2312" w:hAnsi="仿宋_GB2312" w:cs="仿宋_GB2312" w:hint="eastAsia"/>
          <w:spacing w:val="2"/>
        </w:rPr>
        <w:t>常环建〔2026〕3</w:t>
      </w:r>
      <w:r>
        <w:rPr>
          <w:rFonts w:ascii="仿宋_GB2312" w:eastAsia="仿宋_GB2312" w:hAnsi="仿宋_GB2312" w:cs="仿宋_GB2312" w:hint="eastAsia"/>
          <w:spacing w:val="-49"/>
        </w:rPr>
        <w:t xml:space="preserve"> </w:t>
      </w:r>
      <w:r>
        <w:rPr>
          <w:rFonts w:ascii="仿宋_GB2312" w:eastAsia="仿宋_GB2312" w:hAnsi="仿宋_GB2312" w:cs="仿宋_GB2312" w:hint="eastAsia"/>
          <w:spacing w:val="2"/>
        </w:rPr>
        <w:t>号</w:t>
      </w:r>
    </w:p>
    <w:p w14:paraId="0D8A27AC" w14:textId="77777777" w:rsidR="00C263FD" w:rsidRDefault="00C263FD">
      <w:pPr>
        <w:wordWrap w:val="0"/>
        <w:topLinePunct/>
        <w:spacing w:line="252" w:lineRule="auto"/>
        <w:rPr>
          <w:rFonts w:ascii="Times New Roman" w:hAnsi="Times New Roman" w:cs="Times New Roman"/>
        </w:rPr>
      </w:pPr>
    </w:p>
    <w:p w14:paraId="0820A75D" w14:textId="77777777" w:rsidR="00C263FD"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常德市生态环境局</w:t>
      </w:r>
    </w:p>
    <w:p w14:paraId="67C13EE6" w14:textId="77777777" w:rsidR="00C263FD"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关于葛洲坝易普力湖南二化民爆有限公司二化公司乳化炸药生产线技术改造项目</w:t>
      </w:r>
    </w:p>
    <w:p w14:paraId="7B96EC85" w14:textId="77777777" w:rsidR="00C263FD"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环境影响报告表的批复</w:t>
      </w:r>
    </w:p>
    <w:p w14:paraId="67FCAAE4" w14:textId="77777777" w:rsidR="00C263FD" w:rsidRDefault="00C263FD">
      <w:pPr>
        <w:widowControl w:val="0"/>
        <w:wordWrap w:val="0"/>
        <w:topLinePunct/>
        <w:spacing w:line="540" w:lineRule="exact"/>
        <w:rPr>
          <w:rFonts w:ascii="Times New Roman" w:hAnsi="Times New Roman" w:cs="Times New Roman"/>
        </w:rPr>
      </w:pPr>
    </w:p>
    <w:p w14:paraId="6334E157" w14:textId="77777777" w:rsidR="00C263FD" w:rsidRDefault="00000000">
      <w:pPr>
        <w:pStyle w:val="a3"/>
        <w:widowControl w:val="0"/>
        <w:wordWrap w:val="0"/>
        <w:topLinePunct/>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3"/>
          <w:sz w:val="32"/>
          <w:szCs w:val="32"/>
        </w:rPr>
        <w:t>葛洲坝易普力湖南二化民爆有限公司：</w:t>
      </w:r>
    </w:p>
    <w:p w14:paraId="7EB5B1C0"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仿宋_GB2312" w:eastAsia="仿宋_GB2312" w:hAnsi="仿宋_GB2312" w:cs="仿宋_GB2312" w:hint="eastAsia"/>
          <w:spacing w:val="3"/>
          <w:sz w:val="32"/>
          <w:szCs w:val="32"/>
        </w:rPr>
        <w:t>你公司《葛洲坝易普力湖南二化民爆有限公司二化公司乳化炸药生产线技术改造项目环境影响报告表（报批稿）》等申请材料收悉。</w:t>
      </w:r>
      <w:proofErr w:type="gramStart"/>
      <w:r>
        <w:rPr>
          <w:rFonts w:ascii="仿宋_GB2312" w:eastAsia="仿宋_GB2312" w:hAnsi="仿宋_GB2312" w:cs="仿宋_GB2312" w:hint="eastAsia"/>
          <w:spacing w:val="3"/>
          <w:sz w:val="32"/>
          <w:szCs w:val="32"/>
        </w:rPr>
        <w:t>结合发改立项</w:t>
      </w:r>
      <w:proofErr w:type="gramEnd"/>
      <w:r>
        <w:rPr>
          <w:rFonts w:ascii="仿宋_GB2312" w:eastAsia="仿宋_GB2312" w:hAnsi="仿宋_GB2312" w:cs="仿宋_GB2312" w:hint="eastAsia"/>
          <w:spacing w:val="3"/>
          <w:sz w:val="32"/>
          <w:szCs w:val="32"/>
        </w:rPr>
        <w:t>备案（石</w:t>
      </w:r>
      <w:proofErr w:type="gramStart"/>
      <w:r>
        <w:rPr>
          <w:rFonts w:ascii="仿宋_GB2312" w:eastAsia="仿宋_GB2312" w:hAnsi="仿宋_GB2312" w:cs="仿宋_GB2312" w:hint="eastAsia"/>
          <w:spacing w:val="3"/>
          <w:sz w:val="32"/>
          <w:szCs w:val="32"/>
        </w:rPr>
        <w:t>发改备</w:t>
      </w:r>
      <w:proofErr w:type="gramEnd"/>
      <w:r>
        <w:rPr>
          <w:rFonts w:ascii="仿宋_GB2312" w:eastAsia="仿宋_GB2312" w:hAnsi="仿宋_GB2312" w:cs="仿宋_GB2312" w:hint="eastAsia"/>
          <w:spacing w:val="3"/>
          <w:sz w:val="32"/>
          <w:szCs w:val="32"/>
        </w:rPr>
        <w:t>〔2025〕37号）、常德市生态环境局石门分局对报告表出具的预审意见、专家评审意见和项目受理后在网上公示期间未收到反馈意见的情况，经研究，批复如下：</w:t>
      </w:r>
    </w:p>
    <w:p w14:paraId="1B710937" w14:textId="77777777" w:rsidR="00C263FD" w:rsidRDefault="00000000">
      <w:pPr>
        <w:widowControl w:val="0"/>
        <w:spacing w:line="560" w:lineRule="exact"/>
        <w:ind w:firstLineChars="200" w:firstLine="640"/>
        <w:rPr>
          <w:rFonts w:ascii="Times New Roman" w:hAnsi="Times New Roman" w:cs="Times New Roman"/>
          <w:b/>
          <w:bCs/>
          <w:spacing w:val="16"/>
          <w:sz w:val="32"/>
          <w:szCs w:val="32"/>
        </w:rPr>
      </w:pPr>
      <w:r>
        <w:rPr>
          <w:rFonts w:ascii="Times New Roman" w:eastAsia="黑体" w:hAnsi="Times New Roman" w:cs="Times New Roman" w:hint="eastAsia"/>
          <w:sz w:val="32"/>
          <w:szCs w:val="32"/>
        </w:rPr>
        <w:t>一、基本情况及总体意见</w:t>
      </w:r>
    </w:p>
    <w:p w14:paraId="5A7B3D33"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3"/>
          <w:sz w:val="32"/>
          <w:szCs w:val="32"/>
        </w:rPr>
        <w:t>葛洲坝易普力湖南二化民爆有限公司位于湖南省常德市</w:t>
      </w:r>
      <w:proofErr w:type="gramStart"/>
      <w:r>
        <w:rPr>
          <w:rFonts w:ascii="仿宋_GB2312" w:eastAsia="仿宋_GB2312" w:hAnsi="仿宋_GB2312" w:cs="仿宋_GB2312" w:hint="eastAsia"/>
          <w:spacing w:val="3"/>
          <w:sz w:val="32"/>
          <w:szCs w:val="32"/>
        </w:rPr>
        <w:t>石门县楚江</w:t>
      </w:r>
      <w:proofErr w:type="gramEnd"/>
      <w:r>
        <w:rPr>
          <w:rFonts w:ascii="仿宋_GB2312" w:eastAsia="仿宋_GB2312" w:hAnsi="仿宋_GB2312" w:cs="仿宋_GB2312" w:hint="eastAsia"/>
          <w:spacing w:val="3"/>
          <w:sz w:val="32"/>
          <w:szCs w:val="32"/>
        </w:rPr>
        <w:t>街道荷花社区白云路。2015年4月，取得《常德市生态环境局关于葛洲坝易普力湖南二化民爆有限公司15000吨/年胶状乳化炸药生产线技术改造项目（膨化改乳化）环境影响报告书的批</w:t>
      </w:r>
      <w:r>
        <w:rPr>
          <w:rFonts w:ascii="仿宋_GB2312" w:eastAsia="仿宋_GB2312" w:hAnsi="仿宋_GB2312" w:cs="仿宋_GB2312" w:hint="eastAsia"/>
          <w:spacing w:val="6"/>
          <w:sz w:val="32"/>
          <w:szCs w:val="32"/>
        </w:rPr>
        <w:t>复》（</w:t>
      </w:r>
      <w:r>
        <w:rPr>
          <w:rFonts w:ascii="仿宋_GB2312" w:eastAsia="仿宋_GB2312" w:hAnsi="仿宋_GB2312" w:cs="仿宋_GB2312" w:hint="eastAsia"/>
          <w:sz w:val="32"/>
          <w:szCs w:val="32"/>
        </w:rPr>
        <w:t>常环建〔2015〕69号</w:t>
      </w:r>
      <w:r>
        <w:rPr>
          <w:rFonts w:ascii="仿宋_GB2312" w:eastAsia="仿宋_GB2312" w:hAnsi="仿宋_GB2312" w:cs="仿宋_GB2312" w:hint="eastAsia"/>
          <w:spacing w:val="6"/>
          <w:sz w:val="32"/>
          <w:szCs w:val="32"/>
        </w:rPr>
        <w:t>）。2015年12月建成并于完成竣工环保验收（</w:t>
      </w:r>
      <w:proofErr w:type="gramStart"/>
      <w:r>
        <w:rPr>
          <w:rFonts w:ascii="仿宋_GB2312" w:eastAsia="仿宋_GB2312" w:hAnsi="仿宋_GB2312" w:cs="仿宋_GB2312" w:hint="eastAsia"/>
          <w:sz w:val="32"/>
          <w:szCs w:val="32"/>
        </w:rPr>
        <w:t>石环验</w:t>
      </w:r>
      <w:proofErr w:type="gramEnd"/>
      <w:r>
        <w:rPr>
          <w:rFonts w:ascii="仿宋_GB2312" w:eastAsia="仿宋_GB2312" w:hAnsi="仿宋_GB2312" w:cs="仿宋_GB2312" w:hint="eastAsia"/>
          <w:sz w:val="32"/>
          <w:szCs w:val="32"/>
        </w:rPr>
        <w:t>〔2015〕14号</w:t>
      </w:r>
      <w:r>
        <w:rPr>
          <w:rFonts w:ascii="仿宋_GB2312" w:eastAsia="仿宋_GB2312" w:hAnsi="仿宋_GB2312" w:cs="仿宋_GB2312" w:hint="eastAsia"/>
          <w:spacing w:val="6"/>
          <w:sz w:val="32"/>
          <w:szCs w:val="32"/>
        </w:rPr>
        <w:t>）。</w:t>
      </w:r>
    </w:p>
    <w:p w14:paraId="44E7AC89"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8"/>
          <w:sz w:val="32"/>
          <w:szCs w:val="32"/>
        </w:rPr>
      </w:pPr>
      <w:r>
        <w:rPr>
          <w:rFonts w:ascii="仿宋_GB2312" w:eastAsia="仿宋_GB2312" w:hAnsi="仿宋_GB2312" w:cs="仿宋_GB2312" w:hint="eastAsia"/>
          <w:spacing w:val="3"/>
          <w:sz w:val="32"/>
          <w:szCs w:val="32"/>
        </w:rPr>
        <w:t>葛洲坝易普力湖南二化民爆有限公司</w:t>
      </w:r>
      <w:r>
        <w:rPr>
          <w:rFonts w:ascii="仿宋_GB2312" w:eastAsia="仿宋_GB2312" w:hAnsi="仿宋_GB2312" w:cs="仿宋_GB2312" w:hint="eastAsia"/>
          <w:spacing w:val="6"/>
          <w:sz w:val="32"/>
          <w:szCs w:val="32"/>
        </w:rPr>
        <w:t>总占地面积90186m</w:t>
      </w:r>
      <w:r>
        <w:rPr>
          <w:rFonts w:ascii="仿宋_GB2312" w:eastAsia="仿宋_GB2312" w:hAnsi="仿宋_GB2312" w:cs="仿宋_GB2312" w:hint="eastAsia"/>
          <w:spacing w:val="6"/>
          <w:sz w:val="32"/>
          <w:szCs w:val="32"/>
          <w:vertAlign w:val="superscript"/>
        </w:rPr>
        <w:t>2</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lastRenderedPageBreak/>
        <w:t>本次技改工程</w:t>
      </w:r>
      <w:proofErr w:type="gramStart"/>
      <w:r>
        <w:rPr>
          <w:rFonts w:ascii="仿宋_GB2312" w:eastAsia="仿宋_GB2312" w:hAnsi="仿宋_GB2312" w:cs="仿宋_GB2312" w:hint="eastAsia"/>
          <w:spacing w:val="6"/>
          <w:sz w:val="32"/>
          <w:szCs w:val="32"/>
        </w:rPr>
        <w:t>不</w:t>
      </w:r>
      <w:proofErr w:type="gramEnd"/>
      <w:r>
        <w:rPr>
          <w:rFonts w:ascii="仿宋_GB2312" w:eastAsia="仿宋_GB2312" w:hAnsi="仿宋_GB2312" w:cs="仿宋_GB2312" w:hint="eastAsia"/>
          <w:spacing w:val="6"/>
          <w:sz w:val="32"/>
          <w:szCs w:val="32"/>
        </w:rPr>
        <w:t>新增用地。技改工程将湖南省石门县二化生产点15000吨/年乳化炸药（胶状）生产许可能力中的2000吨调整为乳化炸药（胶状）（混装）</w:t>
      </w:r>
      <w:proofErr w:type="gramStart"/>
      <w:r>
        <w:rPr>
          <w:rFonts w:ascii="仿宋_GB2312" w:eastAsia="仿宋_GB2312" w:hAnsi="仿宋_GB2312" w:cs="仿宋_GB2312" w:hint="eastAsia"/>
          <w:spacing w:val="6"/>
          <w:sz w:val="32"/>
          <w:szCs w:val="32"/>
        </w:rPr>
        <w:t>”</w:t>
      </w:r>
      <w:proofErr w:type="gramEnd"/>
      <w:r>
        <w:rPr>
          <w:rFonts w:ascii="仿宋_GB2312" w:eastAsia="仿宋_GB2312" w:hAnsi="仿宋_GB2312" w:cs="仿宋_GB2312" w:hint="eastAsia"/>
          <w:spacing w:val="6"/>
          <w:sz w:val="32"/>
          <w:szCs w:val="32"/>
        </w:rPr>
        <w:t>。调整后全厂为“13000吨/年乳化炸药（胶状）生产能力”和“2000吨/年乳化炸药（胶状）（混装）生产能力”。技改后炸药生产分为两个部分，分别是“厂区部分”和“现场部分”。其中厂区部分13000吨/年乳化炸药（胶状）生产线不变，产能置换的2000吨/年乳化炸药（胶状）（混装）配备3套生产装置，在企业生产区生产水相、油相、敏化剂三种炸药原料。现场部分为三种原料分别装车运送至爆破现场，在爆破现场在进行炸药的乳化、敏化操作。现场部分环境影响不在本次评价范围之列。2000吨/年乳化炸药（胶状）（混装）实施内容主要包括：（1）、水相：企业现状采用93%硝酸铵水溶液、硝酸钠（固体）与水混合溶化制备水相。技术改造项目采用93%硝酸铵水溶液加水配置为83%的水溶液，即为水相。企业现有工程匹配2个水相配置罐。本项目</w:t>
      </w:r>
      <w:proofErr w:type="gramStart"/>
      <w:r>
        <w:rPr>
          <w:rFonts w:ascii="仿宋_GB2312" w:eastAsia="仿宋_GB2312" w:hAnsi="仿宋_GB2312" w:cs="仿宋_GB2312" w:hint="eastAsia"/>
          <w:spacing w:val="6"/>
          <w:sz w:val="32"/>
          <w:szCs w:val="32"/>
        </w:rPr>
        <w:t>不</w:t>
      </w:r>
      <w:proofErr w:type="gramEnd"/>
      <w:r>
        <w:rPr>
          <w:rFonts w:ascii="仿宋_GB2312" w:eastAsia="仿宋_GB2312" w:hAnsi="仿宋_GB2312" w:cs="仿宋_GB2312" w:hint="eastAsia"/>
          <w:spacing w:val="6"/>
          <w:sz w:val="32"/>
          <w:szCs w:val="32"/>
        </w:rPr>
        <w:t>新增、不减少水相配置系统，仅优化泵和输送管道，将2#水相配置</w:t>
      </w:r>
      <w:proofErr w:type="gramStart"/>
      <w:r>
        <w:rPr>
          <w:rFonts w:ascii="仿宋_GB2312" w:eastAsia="仿宋_GB2312" w:hAnsi="仿宋_GB2312" w:cs="仿宋_GB2312" w:hint="eastAsia"/>
          <w:spacing w:val="6"/>
          <w:sz w:val="32"/>
          <w:szCs w:val="32"/>
        </w:rPr>
        <w:t>罐用于</w:t>
      </w:r>
      <w:proofErr w:type="gramEnd"/>
      <w:r>
        <w:rPr>
          <w:rFonts w:ascii="仿宋_GB2312" w:eastAsia="仿宋_GB2312" w:hAnsi="仿宋_GB2312" w:cs="仿宋_GB2312" w:hint="eastAsia"/>
          <w:spacing w:val="6"/>
          <w:sz w:val="32"/>
          <w:szCs w:val="32"/>
        </w:rPr>
        <w:t>现场混装炸药水相的制备。（2）、油相：企业现状采用一体化油相（仅熔化就可以直接使用），现状有2个熔蜡槽、3个油相储备罐。本次技改项目新增一个1.5立方米油相制备罐，采用乳化剂和柴油混合制备油相，新增一个40立方米的油相储存罐</w:t>
      </w:r>
      <w:proofErr w:type="gramStart"/>
      <w:r>
        <w:rPr>
          <w:rFonts w:ascii="仿宋_GB2312" w:eastAsia="仿宋_GB2312" w:hAnsi="仿宋_GB2312" w:cs="仿宋_GB2312" w:hint="eastAsia"/>
          <w:spacing w:val="6"/>
          <w:sz w:val="32"/>
          <w:szCs w:val="32"/>
        </w:rPr>
        <w:t>用做油</w:t>
      </w:r>
      <w:proofErr w:type="gramEnd"/>
      <w:r>
        <w:rPr>
          <w:rFonts w:ascii="仿宋_GB2312" w:eastAsia="仿宋_GB2312" w:hAnsi="仿宋_GB2312" w:cs="仿宋_GB2312" w:hint="eastAsia"/>
          <w:spacing w:val="6"/>
          <w:sz w:val="32"/>
          <w:szCs w:val="32"/>
        </w:rPr>
        <w:t>相的储存。本次油相的生产就是用柴油和乳化剂混合的过程，不属于乳化过程，不涉及化学反应。3、敏化剂：本次新增一条敏化剂生产线，敏化剂生产采用固体亚硝酸钠加水溶化即可。4、</w:t>
      </w:r>
      <w:proofErr w:type="gramStart"/>
      <w:r>
        <w:rPr>
          <w:rFonts w:ascii="仿宋_GB2312" w:eastAsia="仿宋_GB2312" w:hAnsi="仿宋_GB2312" w:cs="仿宋_GB2312" w:hint="eastAsia"/>
          <w:spacing w:val="6"/>
          <w:sz w:val="32"/>
          <w:szCs w:val="32"/>
        </w:rPr>
        <w:t>撬装加油</w:t>
      </w:r>
      <w:proofErr w:type="gramEnd"/>
      <w:r>
        <w:rPr>
          <w:rFonts w:ascii="仿宋_GB2312" w:eastAsia="仿宋_GB2312" w:hAnsi="仿宋_GB2312" w:cs="仿宋_GB2312" w:hint="eastAsia"/>
          <w:spacing w:val="6"/>
          <w:sz w:val="32"/>
          <w:szCs w:val="32"/>
        </w:rPr>
        <w:t>装置。本次新增一个20立方米</w:t>
      </w:r>
      <w:proofErr w:type="gramStart"/>
      <w:r>
        <w:rPr>
          <w:rFonts w:ascii="仿宋_GB2312" w:eastAsia="仿宋_GB2312" w:hAnsi="仿宋_GB2312" w:cs="仿宋_GB2312" w:hint="eastAsia"/>
          <w:spacing w:val="6"/>
          <w:sz w:val="32"/>
          <w:szCs w:val="32"/>
        </w:rPr>
        <w:t>的撬</w:t>
      </w:r>
      <w:r>
        <w:rPr>
          <w:rFonts w:ascii="仿宋_GB2312" w:eastAsia="仿宋_GB2312" w:hAnsi="仿宋_GB2312" w:cs="仿宋_GB2312" w:hint="eastAsia"/>
          <w:spacing w:val="6"/>
          <w:sz w:val="32"/>
          <w:szCs w:val="32"/>
        </w:rPr>
        <w:lastRenderedPageBreak/>
        <w:t>装柴油</w:t>
      </w:r>
      <w:proofErr w:type="gramEnd"/>
      <w:r>
        <w:rPr>
          <w:rFonts w:ascii="仿宋_GB2312" w:eastAsia="仿宋_GB2312" w:hAnsi="仿宋_GB2312" w:cs="仿宋_GB2312" w:hint="eastAsia"/>
          <w:spacing w:val="6"/>
          <w:sz w:val="32"/>
          <w:szCs w:val="32"/>
        </w:rPr>
        <w:t>加油装置。柴油仅用于油相制备，不对外组织车辆加油。项目供热工程依托现有2吨/小时的燃气蒸汽锅炉，可满足生产线蒸汽供应。</w:t>
      </w:r>
      <w:r>
        <w:rPr>
          <w:rFonts w:ascii="仿宋_GB2312" w:eastAsia="仿宋_GB2312" w:hAnsi="仿宋_GB2312" w:cs="仿宋_GB2312" w:hint="eastAsia"/>
          <w:spacing w:val="5"/>
          <w:sz w:val="32"/>
          <w:szCs w:val="32"/>
        </w:rPr>
        <w:t>项目总投资552.29万</w:t>
      </w:r>
      <w:r>
        <w:rPr>
          <w:rFonts w:ascii="仿宋_GB2312" w:eastAsia="仿宋_GB2312" w:hAnsi="仿宋_GB2312" w:cs="仿宋_GB2312" w:hint="eastAsia"/>
          <w:spacing w:val="4"/>
          <w:sz w:val="32"/>
          <w:szCs w:val="32"/>
        </w:rPr>
        <w:t>元，其中环保投资</w:t>
      </w:r>
      <w:r>
        <w:rPr>
          <w:rFonts w:ascii="仿宋_GB2312" w:eastAsia="仿宋_GB2312" w:hAnsi="仿宋_GB2312" w:cs="仿宋_GB2312" w:hint="eastAsia"/>
          <w:sz w:val="32"/>
          <w:szCs w:val="32"/>
        </w:rPr>
        <w:t>18</w:t>
      </w:r>
      <w:r>
        <w:rPr>
          <w:rFonts w:ascii="仿宋_GB2312" w:eastAsia="仿宋_GB2312" w:hAnsi="仿宋_GB2312" w:cs="仿宋_GB2312" w:hint="eastAsia"/>
          <w:spacing w:val="4"/>
          <w:sz w:val="32"/>
          <w:szCs w:val="32"/>
        </w:rPr>
        <w:t>万元，占总投资的</w:t>
      </w:r>
      <w:r>
        <w:rPr>
          <w:rFonts w:ascii="仿宋_GB2312" w:eastAsia="仿宋_GB2312" w:hAnsi="仿宋_GB2312" w:cs="仿宋_GB2312" w:hint="eastAsia"/>
          <w:sz w:val="32"/>
          <w:szCs w:val="32"/>
        </w:rPr>
        <w:t>3.26%</w:t>
      </w:r>
      <w:r>
        <w:rPr>
          <w:rFonts w:ascii="仿宋_GB2312" w:eastAsia="仿宋_GB2312" w:hAnsi="仿宋_GB2312" w:cs="仿宋_GB2312" w:hint="eastAsia"/>
          <w:spacing w:val="8"/>
          <w:sz w:val="32"/>
          <w:szCs w:val="32"/>
        </w:rPr>
        <w:t>。</w:t>
      </w:r>
    </w:p>
    <w:p w14:paraId="06D2E9E7" w14:textId="77777777" w:rsidR="00C263FD" w:rsidRDefault="00000000">
      <w:pPr>
        <w:pStyle w:val="a3"/>
        <w:widowControl w:val="0"/>
        <w:wordWrap w:val="0"/>
        <w:topLinePunct/>
        <w:spacing w:line="560" w:lineRule="exact"/>
        <w:ind w:firstLineChars="200" w:firstLine="672"/>
        <w:rPr>
          <w:rFonts w:ascii="仿宋_GB2312" w:eastAsia="仿宋_GB2312" w:hAnsi="仿宋_GB2312" w:cs="仿宋_GB2312" w:hint="eastAsia"/>
          <w:spacing w:val="3"/>
          <w:sz w:val="32"/>
          <w:szCs w:val="32"/>
        </w:rPr>
      </w:pPr>
      <w:r>
        <w:rPr>
          <w:rFonts w:ascii="仿宋_GB2312" w:eastAsia="仿宋_GB2312" w:hAnsi="仿宋_GB2312" w:cs="仿宋_GB2312" w:hint="eastAsia"/>
          <w:spacing w:val="8"/>
          <w:sz w:val="32"/>
          <w:szCs w:val="32"/>
        </w:rPr>
        <w:t>根据《报告表》结论，该项目符合国家产业政策、符合分区管控要求、符合《</w:t>
      </w:r>
      <w:r>
        <w:rPr>
          <w:rFonts w:ascii="仿宋_GB2312" w:eastAsia="仿宋_GB2312" w:hAnsi="仿宋_GB2312" w:cs="仿宋_GB2312" w:hint="eastAsia"/>
          <w:kern w:val="0"/>
          <w:szCs w:val="21"/>
        </w:rPr>
        <w:t>湖南省长江经济带发展负面清单实施细则</w:t>
      </w:r>
      <w:r>
        <w:rPr>
          <w:rFonts w:ascii="仿宋_GB2312" w:eastAsia="仿宋_GB2312" w:hAnsi="仿宋_GB2312" w:cs="仿宋_GB2312" w:hint="eastAsia"/>
          <w:spacing w:val="8"/>
          <w:sz w:val="32"/>
          <w:szCs w:val="32"/>
        </w:rPr>
        <w:t>》</w:t>
      </w:r>
      <w:r>
        <w:rPr>
          <w:rFonts w:ascii="仿宋_GB2312" w:eastAsia="仿宋_GB2312" w:hAnsi="仿宋_GB2312" w:cs="仿宋_GB2312" w:hint="eastAsia"/>
          <w:kern w:val="0"/>
          <w:szCs w:val="21"/>
        </w:rPr>
        <w:t>（试行，2022年版）要求</w:t>
      </w:r>
      <w:r>
        <w:rPr>
          <w:rFonts w:ascii="仿宋_GB2312" w:eastAsia="仿宋_GB2312" w:hAnsi="仿宋_GB2312" w:cs="仿宋_GB2312" w:hint="eastAsia"/>
          <w:spacing w:val="8"/>
          <w:sz w:val="32"/>
          <w:szCs w:val="32"/>
        </w:rPr>
        <w:t>。该项目在全面落实《报告表》及本批复提出的污染防治措施、环境风险防范措施、确保污染物达标排放的前提下，从环境保护角度分析，我局原则同意按《报告表》所列建设项目的性质、规模、地点、生产工艺和污染防治污染措施组织建设。</w:t>
      </w:r>
    </w:p>
    <w:p w14:paraId="6463E622" w14:textId="77777777" w:rsidR="00C263FD" w:rsidRDefault="00000000">
      <w:pPr>
        <w:pStyle w:val="a3"/>
        <w:widowControl w:val="0"/>
        <w:wordWrap w:val="0"/>
        <w:topLinePunct/>
        <w:spacing w:line="560" w:lineRule="exact"/>
        <w:ind w:firstLineChars="200" w:firstLine="640"/>
        <w:rPr>
          <w:rFonts w:ascii="Times New Roman" w:hAnsi="Times New Roman" w:cs="Times New Roman"/>
          <w:sz w:val="32"/>
          <w:szCs w:val="32"/>
        </w:rPr>
      </w:pPr>
      <w:r>
        <w:rPr>
          <w:rFonts w:ascii="Times New Roman" w:eastAsia="黑体" w:hAnsi="Times New Roman" w:cs="Times New Roman"/>
          <w:sz w:val="32"/>
          <w:szCs w:val="32"/>
        </w:rPr>
        <w:t>二、建设、运营管理过程中的环境管理要求</w:t>
      </w:r>
    </w:p>
    <w:p w14:paraId="67808E6D"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楷体_GB2312" w:eastAsia="楷体_GB2312" w:hAnsi="楷体_GB2312" w:cs="楷体_GB2312" w:hint="eastAsia"/>
          <w:spacing w:val="3"/>
          <w:sz w:val="32"/>
          <w:szCs w:val="32"/>
        </w:rPr>
        <w:t>（一）落实大气污染防治措施。</w:t>
      </w:r>
      <w:r>
        <w:rPr>
          <w:rFonts w:ascii="仿宋_GB2312" w:eastAsia="仿宋_GB2312" w:hAnsi="仿宋_GB2312" w:cs="仿宋_GB2312" w:hint="eastAsia"/>
          <w:spacing w:val="3"/>
          <w:sz w:val="32"/>
          <w:szCs w:val="32"/>
        </w:rPr>
        <w:t>落实《报告表》提出的各项无组织废气控制措施，项目实施后厂界满足《大气污染物综合排放标准》（GB16297-1996）相关限值；厂区内无组织挥发性有机物满足《挥发性有机物无组织排放控制标准》（GB37822-2019）标准限值。</w:t>
      </w:r>
    </w:p>
    <w:p w14:paraId="49E4D0E7"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楷体_GB2312" w:eastAsia="楷体_GB2312" w:hAnsi="楷体_GB2312" w:cs="楷体_GB2312" w:hint="eastAsia"/>
          <w:spacing w:val="3"/>
          <w:sz w:val="32"/>
          <w:szCs w:val="32"/>
        </w:rPr>
        <w:t>（二）落实营运期水污染防治措施。</w:t>
      </w:r>
      <w:r>
        <w:rPr>
          <w:rFonts w:ascii="仿宋_GB2312" w:eastAsia="仿宋_GB2312" w:hAnsi="仿宋_GB2312" w:cs="仿宋_GB2312" w:hint="eastAsia"/>
          <w:spacing w:val="3"/>
          <w:sz w:val="32"/>
          <w:szCs w:val="32"/>
        </w:rPr>
        <w:t>做好全厂雨污分流、污</w:t>
      </w:r>
      <w:proofErr w:type="gramStart"/>
      <w:r>
        <w:rPr>
          <w:rFonts w:ascii="仿宋_GB2312" w:eastAsia="仿宋_GB2312" w:hAnsi="仿宋_GB2312" w:cs="仿宋_GB2312" w:hint="eastAsia"/>
          <w:spacing w:val="3"/>
          <w:sz w:val="32"/>
          <w:szCs w:val="32"/>
        </w:rPr>
        <w:t>污</w:t>
      </w:r>
      <w:proofErr w:type="gramEnd"/>
      <w:r>
        <w:rPr>
          <w:rFonts w:ascii="仿宋_GB2312" w:eastAsia="仿宋_GB2312" w:hAnsi="仿宋_GB2312" w:cs="仿宋_GB2312" w:hint="eastAsia"/>
          <w:spacing w:val="3"/>
          <w:sz w:val="32"/>
          <w:szCs w:val="32"/>
        </w:rPr>
        <w:t>分流工作。锅炉排污水及软化废水直接用于厂区绿化及降尘处理。设备清洗废水等经隔油沉淀预处理，排入厂区现有污水处理站处理满足《城市污水再生利用 工业用水水质》（GB/T-2024）水质要求后回用于循环冷却水、洗涤用水等，全厂废水不外排。</w:t>
      </w:r>
    </w:p>
    <w:p w14:paraId="6A2EF792"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楷体_GB2312" w:eastAsia="楷体_GB2312" w:hAnsi="楷体_GB2312" w:cs="楷体_GB2312" w:hint="eastAsia"/>
          <w:spacing w:val="3"/>
          <w:sz w:val="32"/>
          <w:szCs w:val="32"/>
        </w:rPr>
        <w:t>（三）落实营运期噪声污染防治措施。</w:t>
      </w:r>
      <w:r>
        <w:rPr>
          <w:rFonts w:ascii="仿宋_GB2312" w:eastAsia="仿宋_GB2312" w:hAnsi="仿宋_GB2312" w:cs="仿宋_GB2312" w:hint="eastAsia"/>
          <w:spacing w:val="3"/>
          <w:sz w:val="32"/>
          <w:szCs w:val="32"/>
        </w:rPr>
        <w:t>优选低噪声设备，高</w:t>
      </w:r>
      <w:r>
        <w:rPr>
          <w:rFonts w:ascii="仿宋_GB2312" w:eastAsia="仿宋_GB2312" w:hAnsi="仿宋_GB2312" w:cs="仿宋_GB2312" w:hint="eastAsia"/>
          <w:spacing w:val="3"/>
          <w:sz w:val="32"/>
          <w:szCs w:val="32"/>
        </w:rPr>
        <w:lastRenderedPageBreak/>
        <w:t>噪声设备采取隔声、消声、减振等降噪措施，并加强设备的维护保养，确保厂界噪声排放不超过《工业企业厂界环境噪声排放标准》（GB12348-2008）表1中2类限值。</w:t>
      </w:r>
    </w:p>
    <w:p w14:paraId="26DC8B16"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楷体_GB2312" w:eastAsia="楷体_GB2312" w:hAnsi="楷体_GB2312" w:cs="楷体_GB2312" w:hint="eastAsia"/>
          <w:spacing w:val="3"/>
          <w:sz w:val="32"/>
          <w:szCs w:val="32"/>
        </w:rPr>
        <w:t>（四）落实营运期固体废物处置措施。</w:t>
      </w:r>
      <w:r>
        <w:rPr>
          <w:rFonts w:ascii="仿宋_GB2312" w:eastAsia="仿宋_GB2312" w:hAnsi="仿宋_GB2312" w:cs="仿宋_GB2312" w:hint="eastAsia"/>
          <w:spacing w:val="3"/>
          <w:sz w:val="32"/>
          <w:szCs w:val="32"/>
        </w:rPr>
        <w:t>严格按照“无害化、减量化、资源化”的原则做好固体废物的综合利用和安全处置。生产滤渣、污水处理站污泥、理化试验废液及废渣、油罐清理产生的油泥、亚硝酸纳直接接触的废弃包装物、设备维护产生的废矿物油、废油桶及含油手套等暂存于危险废物暂存间，定期委托有资质的单位有效处置。危险废物贮存执行《危险废物贮存污染控制标准》（GB18597-2023），危险废物严格执行危险废物转移联单管理规定，定期交法定资质单位处置。一般工业固体废物贮存执行《一般工业固体废物贮存和填埋污染控制标准》（GB18599-2020）。</w:t>
      </w:r>
    </w:p>
    <w:p w14:paraId="75D085CF"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楷体_GB2312" w:eastAsia="楷体_GB2312" w:hAnsi="楷体_GB2312" w:cs="楷体_GB2312" w:hint="eastAsia"/>
          <w:spacing w:val="3"/>
          <w:sz w:val="32"/>
          <w:szCs w:val="32"/>
        </w:rPr>
        <w:t>（五）落实土壤及地下水污染防治措施。</w:t>
      </w:r>
      <w:r>
        <w:rPr>
          <w:rFonts w:ascii="仿宋_GB2312" w:eastAsia="仿宋_GB2312" w:hAnsi="仿宋_GB2312" w:cs="仿宋_GB2312" w:hint="eastAsia"/>
          <w:spacing w:val="3"/>
          <w:sz w:val="32"/>
          <w:szCs w:val="32"/>
        </w:rPr>
        <w:t>按照“源头预防、末端控制、污染监控、应急处理”相结合的原则，从污染物的产生、入渗、扩散、应急处理全过程进行防控。切实做好建设项目各级污染防治区的防雨、防渗工作。</w:t>
      </w:r>
    </w:p>
    <w:p w14:paraId="5BAA4697"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楷体_GB2312" w:eastAsia="楷体_GB2312" w:hAnsi="楷体_GB2312" w:cs="楷体_GB2312" w:hint="eastAsia"/>
          <w:spacing w:val="3"/>
          <w:sz w:val="32"/>
          <w:szCs w:val="32"/>
        </w:rPr>
        <w:t>（六）加强环境事故风险防范。</w:t>
      </w:r>
      <w:r>
        <w:rPr>
          <w:rFonts w:ascii="仿宋_GB2312" w:eastAsia="仿宋_GB2312" w:hAnsi="仿宋_GB2312" w:cs="仿宋_GB2312" w:hint="eastAsia"/>
          <w:spacing w:val="3"/>
          <w:sz w:val="32"/>
          <w:szCs w:val="32"/>
        </w:rPr>
        <w:t>进一步完善企业环境保护管理制度，配强环保专干，污染防治设施实行专人管理，及时修订突发环境事件应急预案，加强应急培训与演练，做好清洁生产工作，强化事故废水收集应急处理等措施，项目依托现有1座300立方米事故废水应急收集池、1座150立方米事故废水应急收集池，平时应处于空置状态，确保应急废水能得到有效控制。</w:t>
      </w:r>
    </w:p>
    <w:p w14:paraId="2E62FA61"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z w:val="32"/>
          <w:szCs w:val="32"/>
        </w:rPr>
      </w:pPr>
      <w:r>
        <w:rPr>
          <w:rFonts w:ascii="楷体_GB2312" w:eastAsia="楷体_GB2312" w:hAnsi="楷体_GB2312" w:cs="楷体_GB2312" w:hint="eastAsia"/>
          <w:spacing w:val="3"/>
          <w:sz w:val="32"/>
          <w:szCs w:val="32"/>
        </w:rPr>
        <w:lastRenderedPageBreak/>
        <w:t>（七）总量控制。</w:t>
      </w:r>
      <w:r>
        <w:rPr>
          <w:rFonts w:ascii="仿宋_GB2312" w:eastAsia="仿宋_GB2312" w:hAnsi="仿宋_GB2312" w:cs="仿宋_GB2312" w:hint="eastAsia"/>
          <w:spacing w:val="3"/>
          <w:sz w:val="32"/>
          <w:szCs w:val="32"/>
        </w:rPr>
        <w:t>本次技改项目完成后主要污染物排放</w:t>
      </w:r>
      <w:proofErr w:type="gramStart"/>
      <w:r>
        <w:rPr>
          <w:rFonts w:ascii="仿宋_GB2312" w:eastAsia="仿宋_GB2312" w:hAnsi="仿宋_GB2312" w:cs="仿宋_GB2312" w:hint="eastAsia"/>
          <w:spacing w:val="3"/>
          <w:sz w:val="32"/>
          <w:szCs w:val="32"/>
        </w:rPr>
        <w:t>不</w:t>
      </w:r>
      <w:proofErr w:type="gramEnd"/>
      <w:r>
        <w:rPr>
          <w:rFonts w:ascii="仿宋_GB2312" w:eastAsia="仿宋_GB2312" w:hAnsi="仿宋_GB2312" w:cs="仿宋_GB2312" w:hint="eastAsia"/>
          <w:spacing w:val="3"/>
          <w:sz w:val="32"/>
          <w:szCs w:val="32"/>
        </w:rPr>
        <w:t>新增。核定企业燃气锅炉污染物排放总量控制指标为：二氧化硫≤0.17吨/年、氮氧化物≤0.49吨/年。</w:t>
      </w:r>
    </w:p>
    <w:p w14:paraId="262C27D1" w14:textId="77777777" w:rsidR="00C263FD" w:rsidRDefault="00000000">
      <w:pPr>
        <w:widowControl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三、事中、事后环境管理</w:t>
      </w:r>
    </w:p>
    <w:p w14:paraId="070048D5"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仿宋_GB2312" w:eastAsia="仿宋_GB2312" w:hAnsi="仿宋_GB2312" w:cs="仿宋_GB2312" w:hint="eastAsia"/>
          <w:spacing w:val="3"/>
          <w:sz w:val="32"/>
          <w:szCs w:val="32"/>
        </w:rPr>
        <w:t>（一）环境影响报告表经批准后，项目的性质、规模、地点或者防治污染措施发生重大变动的，应当重新报批项目的环境影响报告表。项目自批准之日起超过五年，方决定建设项目开工建设的，其环境影响评价文件应报我局重新审核。</w:t>
      </w:r>
    </w:p>
    <w:p w14:paraId="30F6C6EE"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仿宋_GB2312" w:eastAsia="仿宋_GB2312" w:hAnsi="仿宋_GB2312" w:cs="仿宋_GB2312" w:hint="eastAsia"/>
          <w:spacing w:val="3"/>
          <w:sz w:val="32"/>
          <w:szCs w:val="32"/>
        </w:rPr>
        <w:t>（二）项目建成后，在实际排污之前变更排污许可。项目建设必须严格执行环境保护“三同时”制度。项目竣工后，建设单位应按照规定程序开展竣工环境保护验收，编制验收报告，并依法向社会公开，接受社会监督。</w:t>
      </w:r>
    </w:p>
    <w:p w14:paraId="063A711B" w14:textId="77777777" w:rsidR="00C263FD" w:rsidRDefault="00000000">
      <w:pPr>
        <w:pStyle w:val="a3"/>
        <w:widowControl w:val="0"/>
        <w:wordWrap w:val="0"/>
        <w:topLinePunct/>
        <w:spacing w:line="560" w:lineRule="exact"/>
        <w:ind w:firstLineChars="200" w:firstLine="652"/>
        <w:rPr>
          <w:rFonts w:ascii="仿宋_GB2312" w:eastAsia="仿宋_GB2312" w:hAnsi="仿宋_GB2312" w:cs="仿宋_GB2312" w:hint="eastAsia"/>
          <w:spacing w:val="3"/>
          <w:sz w:val="32"/>
          <w:szCs w:val="32"/>
        </w:rPr>
      </w:pPr>
      <w:r>
        <w:rPr>
          <w:rFonts w:ascii="仿宋_GB2312" w:eastAsia="仿宋_GB2312" w:hAnsi="仿宋_GB2312" w:cs="仿宋_GB2312" w:hint="eastAsia"/>
          <w:spacing w:val="3"/>
          <w:sz w:val="32"/>
          <w:szCs w:val="32"/>
        </w:rPr>
        <w:t>（三）本项目环境保护“三同时”监督管理及日常环境管理工作由常德市生态环境局石门分局具体负责。</w:t>
      </w:r>
    </w:p>
    <w:p w14:paraId="0B11C7B8" w14:textId="77777777" w:rsidR="00C263FD" w:rsidRDefault="00C263FD">
      <w:pPr>
        <w:pStyle w:val="a3"/>
        <w:widowControl w:val="0"/>
        <w:wordWrap w:val="0"/>
        <w:topLinePunct/>
        <w:spacing w:line="560" w:lineRule="exact"/>
        <w:ind w:firstLineChars="1400" w:firstLine="4928"/>
        <w:rPr>
          <w:rFonts w:ascii="仿宋_GB2312" w:eastAsia="仿宋_GB2312" w:hAnsi="仿宋_GB2312" w:cs="仿宋_GB2312" w:hint="eastAsia"/>
          <w:spacing w:val="16"/>
          <w:sz w:val="32"/>
          <w:szCs w:val="32"/>
        </w:rPr>
      </w:pPr>
    </w:p>
    <w:p w14:paraId="44278615" w14:textId="77777777" w:rsidR="00C263FD" w:rsidRDefault="00C263FD">
      <w:pPr>
        <w:widowControl w:val="0"/>
        <w:spacing w:line="560" w:lineRule="exact"/>
        <w:jc w:val="right"/>
        <w:rPr>
          <w:rFonts w:ascii="Cambria Math" w:hAnsi="Arial" w:cs="Courier New"/>
          <w:sz w:val="22"/>
        </w:rPr>
      </w:pPr>
    </w:p>
    <w:p w14:paraId="3B4F9BDC" w14:textId="77777777" w:rsidR="00C263FD" w:rsidRDefault="00000000">
      <w:pPr>
        <w:pStyle w:val="a3"/>
        <w:widowControl w:val="0"/>
        <w:wordWrap w:val="0"/>
        <w:topLinePunct/>
        <w:spacing w:line="560" w:lineRule="exact"/>
        <w:ind w:firstLineChars="1400" w:firstLine="4928"/>
        <w:jc w:val="right"/>
        <w:rPr>
          <w:rFonts w:ascii="仿宋_GB2312" w:eastAsia="仿宋_GB2312" w:hAnsi="仿宋_GB2312" w:cs="仿宋_GB2312" w:hint="eastAsia"/>
          <w:spacing w:val="16"/>
          <w:sz w:val="32"/>
          <w:szCs w:val="32"/>
        </w:rPr>
      </w:pPr>
      <w:r>
        <w:rPr>
          <w:rFonts w:ascii="仿宋_GB2312" w:eastAsia="仿宋_GB2312" w:hAnsi="仿宋_GB2312" w:cs="仿宋_GB2312" w:hint="eastAsia"/>
          <w:spacing w:val="16"/>
          <w:sz w:val="32"/>
          <w:szCs w:val="32"/>
        </w:rPr>
        <w:t xml:space="preserve">常德市生态环境局     </w:t>
      </w:r>
    </w:p>
    <w:p w14:paraId="781B24A7" w14:textId="77777777" w:rsidR="00C263FD" w:rsidRDefault="00000000">
      <w:pPr>
        <w:pStyle w:val="a3"/>
        <w:widowControl w:val="0"/>
        <w:wordWrap w:val="0"/>
        <w:topLinePunct/>
        <w:spacing w:line="560" w:lineRule="exact"/>
        <w:ind w:firstLineChars="1500" w:firstLine="5280"/>
        <w:jc w:val="right"/>
        <w:rPr>
          <w:rFonts w:ascii="仿宋_GB2312" w:eastAsia="仿宋_GB2312" w:hAnsi="仿宋_GB2312" w:cs="仿宋_GB2312" w:hint="eastAsia"/>
        </w:rPr>
      </w:pPr>
      <w:r>
        <w:rPr>
          <w:rFonts w:ascii="仿宋_GB2312" w:eastAsia="仿宋_GB2312" w:hAnsi="仿宋_GB2312" w:cs="仿宋_GB2312" w:hint="eastAsia"/>
          <w:spacing w:val="16"/>
          <w:sz w:val="32"/>
          <w:szCs w:val="32"/>
        </w:rPr>
        <w:t xml:space="preserve">2026年1月9日      </w:t>
      </w:r>
    </w:p>
    <w:bookmarkEnd w:id="1"/>
    <w:p w14:paraId="445A23C9" w14:textId="77777777" w:rsidR="00C263FD" w:rsidRDefault="00C263FD">
      <w:pPr>
        <w:spacing w:line="240" w:lineRule="auto"/>
        <w:rPr>
          <w:rFonts w:hint="eastAsia"/>
        </w:rPr>
      </w:pPr>
    </w:p>
    <w:p w14:paraId="511BBF71" w14:textId="77777777" w:rsidR="00C263FD" w:rsidRDefault="00C263FD">
      <w:pPr>
        <w:spacing w:line="240" w:lineRule="auto"/>
        <w:rPr>
          <w:rFonts w:hint="eastAsia"/>
        </w:rPr>
      </w:pPr>
    </w:p>
    <w:sectPr w:rsidR="00C263FD">
      <w:pgSz w:w="11906" w:h="16838"/>
      <w:pgMar w:top="1134"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98DB" w14:textId="77777777" w:rsidR="00100FA3" w:rsidRDefault="00100FA3">
      <w:pPr>
        <w:spacing w:line="240" w:lineRule="auto"/>
        <w:rPr>
          <w:rFonts w:hint="eastAsia"/>
        </w:rPr>
      </w:pPr>
      <w:r>
        <w:separator/>
      </w:r>
    </w:p>
  </w:endnote>
  <w:endnote w:type="continuationSeparator" w:id="0">
    <w:p w14:paraId="4516B1DB" w14:textId="77777777" w:rsidR="00100FA3" w:rsidRDefault="00100FA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0AD6" w14:textId="77777777" w:rsidR="00100FA3" w:rsidRDefault="00100FA3">
      <w:pPr>
        <w:spacing w:line="240" w:lineRule="auto"/>
        <w:rPr>
          <w:rFonts w:hint="eastAsia"/>
        </w:rPr>
      </w:pPr>
      <w:r>
        <w:separator/>
      </w:r>
    </w:p>
  </w:footnote>
  <w:footnote w:type="continuationSeparator" w:id="0">
    <w:p w14:paraId="098326C4" w14:textId="77777777" w:rsidR="00100FA3" w:rsidRDefault="00100FA3">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JkZjZjMDA5ODU5YjQwNTllNmYxOGVhYTU3NjcwOTQifQ=="/>
  </w:docVars>
  <w:rsids>
    <w:rsidRoot w:val="00624F75"/>
    <w:rsid w:val="CFFFC16C"/>
    <w:rsid w:val="0005469C"/>
    <w:rsid w:val="000E05B2"/>
    <w:rsid w:val="00100FA3"/>
    <w:rsid w:val="00132075"/>
    <w:rsid w:val="001B0547"/>
    <w:rsid w:val="00231D15"/>
    <w:rsid w:val="00241809"/>
    <w:rsid w:val="002A63BC"/>
    <w:rsid w:val="002F7894"/>
    <w:rsid w:val="003A39AE"/>
    <w:rsid w:val="003B5CAC"/>
    <w:rsid w:val="003E0146"/>
    <w:rsid w:val="003E6E1D"/>
    <w:rsid w:val="004033E4"/>
    <w:rsid w:val="0047266F"/>
    <w:rsid w:val="004B21E3"/>
    <w:rsid w:val="004B4EA7"/>
    <w:rsid w:val="004D23F1"/>
    <w:rsid w:val="005E0FA8"/>
    <w:rsid w:val="00624F75"/>
    <w:rsid w:val="00626F46"/>
    <w:rsid w:val="00662C50"/>
    <w:rsid w:val="007054C4"/>
    <w:rsid w:val="007829AB"/>
    <w:rsid w:val="007B3D48"/>
    <w:rsid w:val="007D1261"/>
    <w:rsid w:val="007D56F8"/>
    <w:rsid w:val="00807C2D"/>
    <w:rsid w:val="0083239C"/>
    <w:rsid w:val="0085166D"/>
    <w:rsid w:val="008C7401"/>
    <w:rsid w:val="009026A3"/>
    <w:rsid w:val="00977B8F"/>
    <w:rsid w:val="0099158F"/>
    <w:rsid w:val="00A07BBF"/>
    <w:rsid w:val="00A20958"/>
    <w:rsid w:val="00A2193B"/>
    <w:rsid w:val="00A520CE"/>
    <w:rsid w:val="00A97CC8"/>
    <w:rsid w:val="00AD5CEA"/>
    <w:rsid w:val="00B32282"/>
    <w:rsid w:val="00B615A3"/>
    <w:rsid w:val="00BD77D9"/>
    <w:rsid w:val="00BE6679"/>
    <w:rsid w:val="00C053DB"/>
    <w:rsid w:val="00C263FD"/>
    <w:rsid w:val="00C405A3"/>
    <w:rsid w:val="00C85C7E"/>
    <w:rsid w:val="00D16EB6"/>
    <w:rsid w:val="00D239B2"/>
    <w:rsid w:val="00D24359"/>
    <w:rsid w:val="00D47472"/>
    <w:rsid w:val="00D6538C"/>
    <w:rsid w:val="00D83872"/>
    <w:rsid w:val="00DC4B84"/>
    <w:rsid w:val="00DD6712"/>
    <w:rsid w:val="00E55D3F"/>
    <w:rsid w:val="00F4585F"/>
    <w:rsid w:val="00F625AB"/>
    <w:rsid w:val="00F93FD1"/>
    <w:rsid w:val="00FA28C0"/>
    <w:rsid w:val="025647A4"/>
    <w:rsid w:val="0EFF2EDD"/>
    <w:rsid w:val="10955D83"/>
    <w:rsid w:val="133A5760"/>
    <w:rsid w:val="16EE279E"/>
    <w:rsid w:val="1D6E7041"/>
    <w:rsid w:val="203B3D71"/>
    <w:rsid w:val="2BD83155"/>
    <w:rsid w:val="2BEF1A4F"/>
    <w:rsid w:val="2BF734E0"/>
    <w:rsid w:val="2CE93E6C"/>
    <w:rsid w:val="2D43623C"/>
    <w:rsid w:val="2F854E58"/>
    <w:rsid w:val="301D30AC"/>
    <w:rsid w:val="303537A5"/>
    <w:rsid w:val="32F93DAF"/>
    <w:rsid w:val="377C2F8D"/>
    <w:rsid w:val="38D510C1"/>
    <w:rsid w:val="3B8862D5"/>
    <w:rsid w:val="3D296F98"/>
    <w:rsid w:val="3D2C28A1"/>
    <w:rsid w:val="3EB73805"/>
    <w:rsid w:val="4755115C"/>
    <w:rsid w:val="4FAE4949"/>
    <w:rsid w:val="4FD54FCD"/>
    <w:rsid w:val="544301D9"/>
    <w:rsid w:val="5A1524A8"/>
    <w:rsid w:val="5A271DEB"/>
    <w:rsid w:val="5A5853AE"/>
    <w:rsid w:val="5EF80B65"/>
    <w:rsid w:val="600028C3"/>
    <w:rsid w:val="72707550"/>
    <w:rsid w:val="738F6E24"/>
    <w:rsid w:val="74387EF5"/>
    <w:rsid w:val="76407013"/>
    <w:rsid w:val="770E4995"/>
    <w:rsid w:val="77BFDDD0"/>
    <w:rsid w:val="79F34FB0"/>
    <w:rsid w:val="7D9C04D5"/>
    <w:rsid w:val="7F4079CE"/>
    <w:rsid w:val="7F4476C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8A930"/>
  <w15:docId w15:val="{E5C0CAC0-D181-4E7A-8AD2-3E664E95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600" w:lineRule="exact"/>
      <w:jc w:val="both"/>
    </w:pPr>
    <w:rPr>
      <w:kern w:val="2"/>
      <w:sz w:val="21"/>
      <w:szCs w:val="22"/>
    </w:rPr>
  </w:style>
  <w:style w:type="paragraph" w:styleId="1">
    <w:name w:val="heading 1"/>
    <w:basedOn w:val="a"/>
    <w:next w:val="a"/>
    <w:uiPriority w:val="9"/>
    <w:qFormat/>
    <w:pPr>
      <w:keepNext/>
      <w:keepLines/>
      <w:adjustRightInd w:val="0"/>
      <w:snapToGrid w:val="0"/>
      <w:spacing w:line="240" w:lineRule="auto"/>
      <w:jc w:val="distribute"/>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xl27"/>
    <w:semiHidden/>
    <w:qFormat/>
    <w:rPr>
      <w:rFonts w:ascii="仿宋" w:eastAsia="仿宋" w:hAnsi="仿宋" w:cs="仿宋"/>
      <w:sz w:val="31"/>
      <w:szCs w:val="31"/>
    </w:rPr>
  </w:style>
  <w:style w:type="paragraph" w:customStyle="1" w:styleId="xl27">
    <w:name w:val="xl27"/>
    <w:basedOn w:val="a"/>
    <w:next w:val="2"/>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Math" w:cs="Courier New"/>
      <w:sz w:val="22"/>
    </w:rPr>
  </w:style>
  <w:style w:type="paragraph" w:styleId="2">
    <w:name w:val="Body Text Indent 2"/>
    <w:basedOn w:val="a"/>
    <w:next w:val="a"/>
    <w:qFormat/>
    <w:pPr>
      <w:spacing w:line="360" w:lineRule="auto"/>
      <w:ind w:firstLineChars="200" w:firstLine="603"/>
    </w:pPr>
    <w:rPr>
      <w:bCs/>
      <w:sz w:val="28"/>
    </w:rPr>
  </w:style>
  <w:style w:type="paragraph" w:styleId="a4">
    <w:name w:val="Balloon Text"/>
    <w:basedOn w:val="a"/>
    <w:link w:val="a5"/>
    <w:uiPriority w:val="99"/>
    <w:semiHidden/>
    <w:unhideWhenUsed/>
    <w:qFormat/>
    <w:pPr>
      <w:spacing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customStyle="1" w:styleId="cdsw">
    <w:name w:val="cdsw"/>
    <w:basedOn w:val="a"/>
    <w:next w:val="a"/>
    <w:qFormat/>
    <w:pPr>
      <w:keepNext/>
      <w:keepLines/>
      <w:adjustRightInd w:val="0"/>
      <w:snapToGrid w:val="0"/>
      <w:spacing w:line="240" w:lineRule="auto"/>
      <w:jc w:val="distribute"/>
    </w:pPr>
    <w:rPr>
      <w:rFonts w:ascii="方正小标宋简体" w:eastAsia="方正小标宋简体" w:hAnsi="方正小标宋简体" w:cs="方正大标宋简体" w:hint="eastAsia"/>
      <w:bCs/>
      <w:color w:val="FF0000"/>
      <w:w w:val="45"/>
      <w:kern w:val="0"/>
      <w:sz w:val="110"/>
      <w:szCs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1390</Characters>
  <Application>Microsoft Office Word</Application>
  <DocSecurity>0</DocSecurity>
  <Lines>60</Lines>
  <Paragraphs>24</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XiangLin</dc:creator>
  <cp:lastModifiedBy>Guardian Tales</cp:lastModifiedBy>
  <cp:revision>2</cp:revision>
  <cp:lastPrinted>2019-04-25T19:42:00Z</cp:lastPrinted>
  <dcterms:created xsi:type="dcterms:W3CDTF">2026-01-26T02:55:00Z</dcterms:created>
  <dcterms:modified xsi:type="dcterms:W3CDTF">2026-01-26T02:55:00Z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8DD2D0C5F1D7B374874964691D57B1C1</vt:lpwstr>
  </property>
</Properties>
</file>