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spacing w:before="1160" w:after="0" w:line="560" w:lineRule="exact"/>
        <w:jc w:val="right"/>
        <w:rPr>
          <w:rFonts w:ascii="仿宋_GB2312" w:eastAsia="仿宋_GB2312"/>
          <w:color w:val="auto"/>
        </w:rPr>
      </w:pPr>
      <w:r>
        <w:rPr>
          <w:rFonts w:hint="eastAsia" w:ascii="仿宋_GB2312" w:hAnsi="仿宋" w:eastAsia="仿宋_GB2312"/>
          <w:color w:val="auto"/>
          <w:sz w:val="32"/>
          <w:szCs w:val="32"/>
        </w:rPr>
        <w:t>常环建〔2025〕</w:t>
      </w:r>
      <w:r>
        <w:rPr>
          <w:rFonts w:hint="eastAsia" w:ascii="仿宋_GB2312" w:hAnsi="仿宋" w:eastAsia="仿宋_GB2312"/>
          <w:color w:val="auto"/>
          <w:sz w:val="32"/>
          <w:szCs w:val="32"/>
          <w:lang w:val="en-US" w:eastAsia="zh-CN"/>
        </w:rPr>
        <w:t>86</w:t>
      </w:r>
      <w:r>
        <w:rPr>
          <w:rFonts w:hint="eastAsia" w:ascii="仿宋_GB2312" w:hAnsi="仿宋" w:eastAsia="仿宋_GB2312"/>
          <w:color w:val="auto"/>
          <w:sz w:val="32"/>
          <w:szCs w:val="32"/>
        </w:rPr>
        <w:t>号</w:t>
      </w:r>
    </w:p>
    <w:p>
      <w:pPr>
        <w:tabs>
          <w:tab w:val="left" w:pos="1021"/>
        </w:tabs>
        <w:spacing w:after="0" w:line="560" w:lineRule="exact"/>
        <w:jc w:val="center"/>
        <w:rPr>
          <w:rFonts w:hint="eastAsia" w:ascii="方正小标宋简体" w:eastAsia="方正小标宋简体" w:hAnsiTheme="majorEastAsia"/>
          <w:color w:val="auto"/>
          <w:sz w:val="44"/>
          <w:szCs w:val="44"/>
        </w:rPr>
      </w:pPr>
    </w:p>
    <w:p>
      <w:pPr>
        <w:tabs>
          <w:tab w:val="left" w:pos="1021"/>
        </w:tabs>
        <w:spacing w:after="0" w:line="560" w:lineRule="exact"/>
        <w:jc w:val="center"/>
        <w:rPr>
          <w:rFonts w:hint="eastAsia" w:ascii="方正小标宋简体" w:eastAsia="方正小标宋简体" w:hAnsiTheme="majorEastAsia"/>
          <w:color w:val="auto"/>
          <w:sz w:val="44"/>
          <w:szCs w:val="44"/>
        </w:rPr>
      </w:pPr>
      <w:r>
        <w:rPr>
          <w:rFonts w:hint="eastAsia" w:ascii="方正小标宋简体" w:eastAsia="方正小标宋简体" w:hAnsiTheme="majorEastAsia"/>
          <w:color w:val="auto"/>
          <w:sz w:val="44"/>
          <w:szCs w:val="44"/>
        </w:rPr>
        <w:t>常德市生态环境局</w:t>
      </w:r>
    </w:p>
    <w:p>
      <w:pPr>
        <w:tabs>
          <w:tab w:val="left" w:pos="1021"/>
        </w:tabs>
        <w:spacing w:after="0" w:line="560" w:lineRule="exact"/>
        <w:jc w:val="center"/>
        <w:rPr>
          <w:rFonts w:hint="eastAsia" w:ascii="方正小标宋简体" w:eastAsia="方正小标宋简体" w:hAnsiTheme="majorEastAsia"/>
          <w:color w:val="auto"/>
          <w:sz w:val="44"/>
          <w:szCs w:val="44"/>
        </w:rPr>
      </w:pPr>
      <w:r>
        <w:rPr>
          <w:rFonts w:hint="eastAsia" w:ascii="方正小标宋简体" w:eastAsia="方正小标宋简体" w:hAnsiTheme="majorEastAsia"/>
          <w:color w:val="auto"/>
          <w:sz w:val="44"/>
          <w:szCs w:val="44"/>
        </w:rPr>
        <w:t>关于</w:t>
      </w:r>
      <w:r>
        <w:rPr>
          <w:rFonts w:hint="eastAsia" w:ascii="方正小标宋简体" w:eastAsia="方正小标宋简体" w:hAnsiTheme="majorEastAsia"/>
          <w:color w:val="auto"/>
          <w:sz w:val="44"/>
          <w:szCs w:val="44"/>
          <w:lang w:eastAsia="zh-CN"/>
        </w:rPr>
        <w:t>常德市住房和城乡建设局常德市城区应急水源建设工程</w:t>
      </w:r>
      <w:r>
        <w:rPr>
          <w:rFonts w:hint="eastAsia" w:ascii="方正小标宋简体" w:eastAsia="方正小标宋简体" w:hAnsiTheme="majorEastAsia"/>
          <w:color w:val="auto"/>
          <w:sz w:val="44"/>
          <w:szCs w:val="44"/>
        </w:rPr>
        <w:t>环境影响报告表的</w:t>
      </w:r>
    </w:p>
    <w:p>
      <w:pPr>
        <w:tabs>
          <w:tab w:val="left" w:pos="1021"/>
        </w:tabs>
        <w:spacing w:after="0" w:line="560" w:lineRule="exact"/>
        <w:jc w:val="center"/>
        <w:rPr>
          <w:rFonts w:hint="eastAsia" w:ascii="方正小标宋简体" w:eastAsia="方正小标宋简体" w:hAnsiTheme="majorEastAsia"/>
          <w:color w:val="auto"/>
          <w:sz w:val="44"/>
          <w:szCs w:val="44"/>
        </w:rPr>
      </w:pPr>
      <w:r>
        <w:rPr>
          <w:rFonts w:hint="eastAsia" w:ascii="方正小标宋简体" w:eastAsia="方正小标宋简体" w:hAnsiTheme="majorEastAsia"/>
          <w:color w:val="auto"/>
          <w:sz w:val="44"/>
          <w:szCs w:val="44"/>
        </w:rPr>
        <w:t>批</w:t>
      </w:r>
      <w:r>
        <w:rPr>
          <w:rFonts w:hint="eastAsia" w:ascii="方正小标宋简体" w:eastAsia="方正小标宋简体" w:hAnsiTheme="majorEastAsia"/>
          <w:color w:val="auto"/>
          <w:sz w:val="44"/>
          <w:szCs w:val="44"/>
          <w:lang w:val="en-US" w:eastAsia="zh-CN"/>
        </w:rPr>
        <w:t xml:space="preserve">  </w:t>
      </w:r>
      <w:r>
        <w:rPr>
          <w:rFonts w:hint="eastAsia" w:ascii="方正小标宋简体" w:eastAsia="方正小标宋简体" w:hAnsiTheme="majorEastAsia"/>
          <w:color w:val="auto"/>
          <w:sz w:val="44"/>
          <w:szCs w:val="44"/>
        </w:rPr>
        <w:t>复</w:t>
      </w:r>
    </w:p>
    <w:p>
      <w:pPr>
        <w:spacing w:after="0" w:line="560" w:lineRule="exact"/>
        <w:jc w:val="both"/>
        <w:rPr>
          <w:rFonts w:hint="eastAsia" w:ascii="仿宋" w:hAnsi="仿宋" w:eastAsia="仿宋"/>
          <w:color w:val="auto"/>
          <w:kern w:val="2"/>
          <w:sz w:val="32"/>
          <w:szCs w:val="32"/>
        </w:rPr>
      </w:pPr>
    </w:p>
    <w:p>
      <w:pPr>
        <w:widowControl w:val="0"/>
        <w:spacing w:after="0" w:line="560" w:lineRule="exact"/>
        <w:jc w:val="both"/>
        <w:rPr>
          <w:rFonts w:hint="eastAsia" w:ascii="仿宋_GB2312" w:hAnsi="仿宋" w:eastAsia="仿宋_GB2312"/>
          <w:color w:val="auto"/>
          <w:sz w:val="32"/>
          <w:szCs w:val="32"/>
        </w:rPr>
      </w:pPr>
      <w:r>
        <w:rPr>
          <w:rFonts w:hint="eastAsia" w:ascii="仿宋_GB2312" w:hAnsi="仿宋" w:eastAsia="仿宋_GB2312"/>
          <w:color w:val="auto"/>
          <w:sz w:val="32"/>
          <w:szCs w:val="32"/>
          <w:lang w:val="en-US" w:eastAsia="zh-CN"/>
        </w:rPr>
        <w:t>常德市住房和城乡建设局</w:t>
      </w:r>
      <w:r>
        <w:rPr>
          <w:rFonts w:hint="eastAsia" w:ascii="仿宋_GB2312" w:hAnsi="仿宋" w:eastAsia="仿宋_GB2312"/>
          <w:color w:val="auto"/>
          <w:sz w:val="32"/>
          <w:szCs w:val="32"/>
        </w:rPr>
        <w:t>：</w:t>
      </w:r>
    </w:p>
    <w:p>
      <w:pPr>
        <w:widowControl w:val="0"/>
        <w:spacing w:after="0" w:line="560" w:lineRule="exact"/>
        <w:ind w:firstLine="640" w:firstLineChars="200"/>
        <w:jc w:val="both"/>
        <w:rPr>
          <w:rFonts w:hint="eastAsia" w:ascii="仿宋_GB2312" w:hAnsi="仿宋" w:eastAsia="仿宋_GB2312"/>
          <w:color w:val="auto"/>
          <w:kern w:val="2"/>
          <w:sz w:val="32"/>
          <w:szCs w:val="32"/>
        </w:rPr>
      </w:pPr>
      <w:r>
        <w:rPr>
          <w:rFonts w:hint="eastAsia" w:ascii="仿宋_GB2312" w:hAnsi="仿宋" w:eastAsia="仿宋_GB2312"/>
          <w:color w:val="auto"/>
          <w:kern w:val="2"/>
          <w:sz w:val="32"/>
          <w:szCs w:val="32"/>
        </w:rPr>
        <w:t>你</w:t>
      </w:r>
      <w:r>
        <w:rPr>
          <w:rFonts w:hint="eastAsia" w:ascii="仿宋_GB2312" w:hAnsi="仿宋" w:eastAsia="仿宋_GB2312"/>
          <w:color w:val="auto"/>
          <w:kern w:val="2"/>
          <w:sz w:val="32"/>
          <w:szCs w:val="32"/>
          <w:lang w:eastAsia="zh-CN"/>
        </w:rPr>
        <w:t>单位</w:t>
      </w:r>
      <w:r>
        <w:rPr>
          <w:rFonts w:hint="eastAsia" w:ascii="仿宋_GB2312" w:hAnsi="仿宋" w:eastAsia="仿宋_GB2312"/>
          <w:color w:val="auto"/>
          <w:kern w:val="2"/>
          <w:sz w:val="32"/>
          <w:szCs w:val="32"/>
        </w:rPr>
        <w:t>提交的《</w:t>
      </w:r>
      <w:r>
        <w:rPr>
          <w:rFonts w:hint="eastAsia" w:ascii="仿宋_GB2312" w:hAnsi="仿宋" w:eastAsia="仿宋_GB2312"/>
          <w:color w:val="auto"/>
          <w:kern w:val="2"/>
          <w:sz w:val="32"/>
          <w:szCs w:val="32"/>
          <w:lang w:eastAsia="zh-CN"/>
        </w:rPr>
        <w:t>常德市住房和城乡建设局常德市城区应急水源建设工程</w:t>
      </w:r>
      <w:r>
        <w:rPr>
          <w:rFonts w:hint="eastAsia" w:ascii="仿宋_GB2312" w:hAnsi="仿宋" w:eastAsia="仿宋_GB2312"/>
          <w:color w:val="auto"/>
          <w:kern w:val="2"/>
          <w:sz w:val="32"/>
          <w:szCs w:val="32"/>
        </w:rPr>
        <w:t>环境影响报告表》（以下简称“报告表”）和《关于申请对〈</w:t>
      </w:r>
      <w:r>
        <w:rPr>
          <w:rFonts w:hint="eastAsia" w:ascii="仿宋_GB2312" w:hAnsi="仿宋" w:eastAsia="仿宋_GB2312"/>
          <w:color w:val="auto"/>
          <w:kern w:val="2"/>
          <w:sz w:val="32"/>
          <w:szCs w:val="32"/>
          <w:lang w:eastAsia="zh-CN"/>
        </w:rPr>
        <w:t>常德市城区应急水源建设工程建设项目</w:t>
      </w:r>
      <w:r>
        <w:rPr>
          <w:rFonts w:hint="eastAsia" w:ascii="仿宋_GB2312" w:hAnsi="仿宋" w:eastAsia="仿宋_GB2312"/>
          <w:color w:val="auto"/>
          <w:kern w:val="2"/>
          <w:sz w:val="32"/>
          <w:szCs w:val="32"/>
        </w:rPr>
        <w:t>环境影响报告表〉进行审批的请示》及相关资料收悉，根据《报告表》专家审查意见、常德市生态环境局</w:t>
      </w:r>
      <w:r>
        <w:rPr>
          <w:rFonts w:hint="eastAsia" w:ascii="仿宋_GB2312" w:hAnsi="仿宋" w:eastAsia="仿宋_GB2312"/>
          <w:color w:val="auto"/>
          <w:kern w:val="2"/>
          <w:sz w:val="32"/>
          <w:szCs w:val="32"/>
          <w:lang w:eastAsia="zh-CN"/>
        </w:rPr>
        <w:t>武陵</w:t>
      </w:r>
      <w:r>
        <w:rPr>
          <w:rFonts w:hint="eastAsia" w:ascii="仿宋_GB2312" w:hAnsi="仿宋" w:eastAsia="仿宋_GB2312"/>
          <w:color w:val="auto"/>
          <w:kern w:val="2"/>
          <w:sz w:val="32"/>
          <w:szCs w:val="32"/>
        </w:rPr>
        <w:t>分局</w:t>
      </w:r>
      <w:r>
        <w:rPr>
          <w:rFonts w:hint="eastAsia" w:ascii="仿宋_GB2312" w:hAnsi="仿宋" w:eastAsia="仿宋_GB2312"/>
          <w:color w:val="auto"/>
          <w:kern w:val="2"/>
          <w:sz w:val="32"/>
          <w:szCs w:val="32"/>
          <w:lang w:eastAsia="zh-CN"/>
        </w:rPr>
        <w:t>和鼎城分局</w:t>
      </w:r>
      <w:r>
        <w:rPr>
          <w:rFonts w:hint="eastAsia" w:ascii="仿宋_GB2312" w:hAnsi="仿宋" w:eastAsia="仿宋_GB2312"/>
          <w:color w:val="auto"/>
          <w:kern w:val="2"/>
          <w:sz w:val="32"/>
          <w:szCs w:val="32"/>
        </w:rPr>
        <w:t>对《报告表》的预审意见、</w:t>
      </w:r>
      <w:r>
        <w:rPr>
          <w:rFonts w:hint="eastAsia" w:ascii="仿宋_GB2312" w:hAnsi="仿宋" w:eastAsia="仿宋_GB2312"/>
          <w:color w:val="auto"/>
          <w:kern w:val="2"/>
          <w:sz w:val="32"/>
          <w:szCs w:val="32"/>
          <w:lang w:eastAsia="zh-CN"/>
        </w:rPr>
        <w:t>《常德市发展和改革委员会关于常德市城区应急水源建设工程可行性研究报告的批复》（项目代码：</w:t>
      </w:r>
      <w:r>
        <w:rPr>
          <w:rFonts w:hint="eastAsia" w:ascii="仿宋_GB2312" w:hAnsi="仿宋" w:eastAsia="仿宋_GB2312"/>
          <w:color w:val="auto"/>
          <w:kern w:val="2"/>
          <w:sz w:val="32"/>
          <w:szCs w:val="32"/>
          <w:lang w:val="en-US" w:eastAsia="zh-CN"/>
        </w:rPr>
        <w:t>2512-430700-04-01-210744）</w:t>
      </w:r>
      <w:r>
        <w:rPr>
          <w:rFonts w:hint="eastAsia" w:ascii="仿宋_GB2312" w:hAnsi="仿宋" w:eastAsia="仿宋_GB2312"/>
          <w:color w:val="auto"/>
          <w:kern w:val="2"/>
          <w:sz w:val="32"/>
          <w:szCs w:val="32"/>
        </w:rPr>
        <w:t>及《报告表》网上公示期间未收到反馈意见的情况。经研究，批复如下：</w:t>
      </w:r>
    </w:p>
    <w:p>
      <w:pPr>
        <w:widowControl w:val="0"/>
        <w:spacing w:after="0" w:line="560" w:lineRule="exact"/>
        <w:ind w:firstLine="640" w:firstLineChars="200"/>
        <w:jc w:val="both"/>
        <w:rPr>
          <w:rFonts w:hint="eastAsia" w:ascii="仿宋_GB2312" w:hAnsi="仿宋" w:eastAsia="仿宋_GB2312"/>
          <w:color w:val="auto"/>
          <w:kern w:val="2"/>
          <w:sz w:val="32"/>
          <w:szCs w:val="32"/>
        </w:rPr>
      </w:pPr>
      <w:r>
        <w:rPr>
          <w:rFonts w:hint="eastAsia" w:ascii="仿宋_GB2312" w:hAnsi="仿宋" w:eastAsia="仿宋_GB2312"/>
          <w:color w:val="auto"/>
          <w:kern w:val="2"/>
          <w:sz w:val="32"/>
          <w:szCs w:val="32"/>
        </w:rPr>
        <w:t>一、基本情况及总体意见</w:t>
      </w:r>
    </w:p>
    <w:p>
      <w:pPr>
        <w:widowControl w:val="0"/>
        <w:spacing w:after="0" w:line="560" w:lineRule="exact"/>
        <w:ind w:firstLine="640" w:firstLineChars="200"/>
        <w:jc w:val="both"/>
        <w:rPr>
          <w:rFonts w:hint="default" w:ascii="仿宋_GB2312" w:hAnsi="仿宋" w:eastAsia="仿宋_GB2312"/>
          <w:color w:val="FF0000"/>
          <w:kern w:val="2"/>
          <w:sz w:val="32"/>
          <w:szCs w:val="32"/>
          <w:lang w:val="en-US"/>
        </w:rPr>
      </w:pPr>
      <w:r>
        <w:rPr>
          <w:rFonts w:hint="eastAsia" w:ascii="仿宋_GB2312" w:hAnsi="仿宋" w:eastAsia="仿宋_GB2312"/>
          <w:kern w:val="2"/>
          <w:sz w:val="32"/>
          <w:szCs w:val="32"/>
        </w:rPr>
        <w:t>根据《常德市发展和改革委员会关于常德市城区应急水源建设工程可行性研究报告的批复》（常发改投资[202</w:t>
      </w:r>
      <w:r>
        <w:rPr>
          <w:rFonts w:ascii="仿宋_GB2312" w:hAnsi="仿宋" w:eastAsia="仿宋_GB2312"/>
          <w:kern w:val="2"/>
          <w:sz w:val="32"/>
          <w:szCs w:val="32"/>
        </w:rPr>
        <w:t>5</w:t>
      </w:r>
      <w:r>
        <w:rPr>
          <w:rFonts w:hint="eastAsia" w:ascii="仿宋_GB2312" w:hAnsi="仿宋" w:eastAsia="仿宋_GB2312"/>
          <w:kern w:val="2"/>
          <w:sz w:val="32"/>
          <w:szCs w:val="32"/>
        </w:rPr>
        <w:t>]</w:t>
      </w:r>
      <w:r>
        <w:rPr>
          <w:rFonts w:ascii="仿宋_GB2312" w:hAnsi="仿宋" w:eastAsia="仿宋_GB2312"/>
          <w:kern w:val="2"/>
          <w:sz w:val="32"/>
          <w:szCs w:val="32"/>
        </w:rPr>
        <w:t>373</w:t>
      </w:r>
      <w:r>
        <w:rPr>
          <w:rFonts w:hint="eastAsia" w:ascii="仿宋_GB2312" w:hAnsi="仿宋" w:eastAsia="仿宋_GB2312"/>
          <w:kern w:val="2"/>
          <w:sz w:val="32"/>
          <w:szCs w:val="32"/>
        </w:rPr>
        <w:t>号），项目建设内容为：</w:t>
      </w:r>
      <w:r>
        <w:rPr>
          <w:rFonts w:hint="eastAsia" w:ascii="仿宋_GB2312" w:hAnsi="仿宋" w:eastAsia="仿宋_GB2312"/>
          <w:kern w:val="2"/>
          <w:sz w:val="32"/>
          <w:szCs w:val="32"/>
          <w:lang w:eastAsia="zh-CN"/>
        </w:rPr>
        <w:t>在</w:t>
      </w:r>
      <w:r>
        <w:rPr>
          <w:rFonts w:hint="eastAsia" w:ascii="仿宋_GB2312" w:hAnsi="仿宋" w:eastAsia="仿宋_GB2312"/>
          <w:kern w:val="2"/>
          <w:sz w:val="32"/>
          <w:szCs w:val="32"/>
        </w:rPr>
        <w:t>五里溪水库至江北水厂之间，由五里溪水库取水，穿渐河后沿常澧路丹溪路至江北水厂，输水线路21.5</w:t>
      </w:r>
      <w:r>
        <w:rPr>
          <w:rFonts w:hint="eastAsia" w:ascii="仿宋_GB2312" w:hAnsi="仿宋" w:eastAsia="仿宋_GB2312"/>
          <w:kern w:val="2"/>
          <w:sz w:val="32"/>
          <w:szCs w:val="32"/>
          <w:lang w:eastAsia="zh-CN"/>
        </w:rPr>
        <w:t>千米</w:t>
      </w:r>
      <w:r>
        <w:rPr>
          <w:rFonts w:hint="eastAsia" w:ascii="仿宋_GB2312" w:hAnsi="仿宋" w:eastAsia="仿宋_GB2312"/>
          <w:kern w:val="2"/>
          <w:sz w:val="32"/>
          <w:szCs w:val="32"/>
        </w:rPr>
        <w:t>。项目路线途经鼎城区蔡家岗镇、石板滩镇、灌溪镇和武陵区河洑镇</w:t>
      </w:r>
      <w:r>
        <w:rPr>
          <w:rFonts w:hint="eastAsia" w:ascii="仿宋_GB2312" w:hAnsi="仿宋_GB2312" w:eastAsia="仿宋_GB2312" w:cs="仿宋_GB2312"/>
          <w:kern w:val="2"/>
          <w:sz w:val="32"/>
          <w:szCs w:val="32"/>
        </w:rPr>
        <w:t>、芙蓉街道，</w:t>
      </w:r>
      <w:r>
        <w:rPr>
          <w:rFonts w:ascii="仿宋_GB2312" w:hAnsi="仿宋" w:eastAsia="仿宋_GB2312"/>
          <w:kern w:val="2"/>
          <w:sz w:val="32"/>
          <w:szCs w:val="32"/>
        </w:rPr>
        <w:t>起点</w:t>
      </w:r>
      <w:r>
        <w:rPr>
          <w:rFonts w:hint="eastAsia" w:ascii="仿宋_GB2312" w:hAnsi="仿宋" w:eastAsia="仿宋_GB2312"/>
          <w:kern w:val="2"/>
          <w:sz w:val="32"/>
          <w:szCs w:val="32"/>
          <w:lang w:eastAsia="zh-CN"/>
        </w:rPr>
        <w:t>地理</w:t>
      </w:r>
      <w:r>
        <w:rPr>
          <w:rFonts w:ascii="仿宋_GB2312" w:hAnsi="仿宋" w:eastAsia="仿宋_GB2312"/>
          <w:kern w:val="2"/>
          <w:sz w:val="32"/>
          <w:szCs w:val="32"/>
        </w:rPr>
        <w:t>坐标</w:t>
      </w:r>
      <w:r>
        <w:rPr>
          <w:rFonts w:hint="eastAsia" w:ascii="仿宋_GB2312" w:hAnsi="仿宋" w:eastAsia="仿宋_GB2312"/>
          <w:kern w:val="2"/>
          <w:sz w:val="32"/>
          <w:szCs w:val="32"/>
          <w:lang w:eastAsia="zh-CN"/>
        </w:rPr>
        <w:t>（</w:t>
      </w:r>
      <w:r>
        <w:rPr>
          <w:rFonts w:ascii="仿宋_GB2312" w:hAnsi="仿宋" w:eastAsia="仿宋_GB2312"/>
          <w:kern w:val="2"/>
          <w:sz w:val="32"/>
          <w:szCs w:val="32"/>
        </w:rPr>
        <w:t>东经111°36′3.822″</w:t>
      </w:r>
      <w:r>
        <w:rPr>
          <w:rFonts w:hint="eastAsia" w:ascii="仿宋_GB2312" w:hAnsi="仿宋" w:eastAsia="仿宋_GB2312"/>
          <w:kern w:val="2"/>
          <w:sz w:val="32"/>
          <w:szCs w:val="32"/>
        </w:rPr>
        <w:t>、</w:t>
      </w:r>
      <w:r>
        <w:rPr>
          <w:rFonts w:ascii="仿宋_GB2312" w:hAnsi="仿宋" w:eastAsia="仿宋_GB2312"/>
          <w:kern w:val="2"/>
          <w:sz w:val="32"/>
          <w:szCs w:val="32"/>
        </w:rPr>
        <w:t>北纬29°11′59.144″</w:t>
      </w:r>
      <w:r>
        <w:rPr>
          <w:rFonts w:hint="eastAsia" w:ascii="仿宋_GB2312" w:hAnsi="仿宋" w:eastAsia="仿宋_GB2312"/>
          <w:kern w:val="2"/>
          <w:sz w:val="32"/>
          <w:szCs w:val="32"/>
          <w:lang w:eastAsia="zh-CN"/>
        </w:rPr>
        <w:t>），</w:t>
      </w:r>
      <w:r>
        <w:rPr>
          <w:rFonts w:ascii="仿宋_GB2312" w:hAnsi="仿宋" w:eastAsia="仿宋_GB2312"/>
          <w:kern w:val="2"/>
          <w:sz w:val="32"/>
          <w:szCs w:val="32"/>
        </w:rPr>
        <w:t>终点</w:t>
      </w:r>
      <w:r>
        <w:rPr>
          <w:rFonts w:hint="eastAsia" w:ascii="仿宋_GB2312" w:hAnsi="仿宋" w:eastAsia="仿宋_GB2312"/>
          <w:kern w:val="2"/>
          <w:sz w:val="32"/>
          <w:szCs w:val="32"/>
          <w:lang w:eastAsia="zh-CN"/>
        </w:rPr>
        <w:t>地理</w:t>
      </w:r>
      <w:r>
        <w:rPr>
          <w:rFonts w:ascii="仿宋_GB2312" w:hAnsi="仿宋" w:eastAsia="仿宋_GB2312"/>
          <w:kern w:val="2"/>
          <w:sz w:val="32"/>
          <w:szCs w:val="32"/>
        </w:rPr>
        <w:t>坐标</w:t>
      </w:r>
      <w:r>
        <w:rPr>
          <w:rFonts w:hint="eastAsia" w:ascii="仿宋_GB2312" w:hAnsi="仿宋" w:eastAsia="仿宋_GB2312"/>
          <w:kern w:val="2"/>
          <w:sz w:val="32"/>
          <w:szCs w:val="32"/>
          <w:lang w:eastAsia="zh-CN"/>
        </w:rPr>
        <w:t>（</w:t>
      </w:r>
      <w:r>
        <w:rPr>
          <w:rFonts w:ascii="仿宋_GB2312" w:hAnsi="仿宋" w:eastAsia="仿宋_GB2312"/>
          <w:kern w:val="2"/>
          <w:sz w:val="32"/>
          <w:szCs w:val="32"/>
        </w:rPr>
        <w:t>东经111°37′7.474″</w:t>
      </w:r>
      <w:r>
        <w:rPr>
          <w:rFonts w:hint="eastAsia" w:ascii="仿宋_GB2312" w:hAnsi="仿宋" w:eastAsia="仿宋_GB2312"/>
          <w:kern w:val="2"/>
          <w:sz w:val="32"/>
          <w:szCs w:val="32"/>
        </w:rPr>
        <w:t>、</w:t>
      </w:r>
      <w:r>
        <w:rPr>
          <w:rFonts w:ascii="仿宋_GB2312" w:hAnsi="仿宋" w:eastAsia="仿宋_GB2312"/>
          <w:kern w:val="2"/>
          <w:sz w:val="32"/>
          <w:szCs w:val="32"/>
        </w:rPr>
        <w:t>北纬29°1′18.799″</w:t>
      </w:r>
      <w:r>
        <w:rPr>
          <w:rFonts w:hint="eastAsia" w:ascii="仿宋_GB2312" w:hAnsi="仿宋" w:eastAsia="仿宋_GB2312"/>
          <w:kern w:val="2"/>
          <w:sz w:val="32"/>
          <w:szCs w:val="32"/>
          <w:lang w:eastAsia="zh-CN"/>
        </w:rPr>
        <w:t>）</w:t>
      </w:r>
      <w:r>
        <w:rPr>
          <w:rFonts w:ascii="仿宋_GB2312" w:hAnsi="仿宋" w:eastAsia="仿宋_GB2312"/>
          <w:kern w:val="2"/>
          <w:sz w:val="32"/>
          <w:szCs w:val="32"/>
        </w:rPr>
        <w:t>。</w:t>
      </w:r>
      <w:r>
        <w:rPr>
          <w:rFonts w:hint="eastAsia" w:ascii="仿宋_GB2312" w:hAnsi="仿宋" w:eastAsia="仿宋_GB2312"/>
          <w:kern w:val="2"/>
          <w:sz w:val="32"/>
          <w:szCs w:val="32"/>
          <w:lang w:eastAsia="zh-CN"/>
        </w:rPr>
        <w:t>应急供水时间为</w:t>
      </w:r>
      <w:r>
        <w:rPr>
          <w:rFonts w:hint="eastAsia" w:ascii="仿宋_GB2312" w:hAnsi="仿宋" w:eastAsia="仿宋_GB2312"/>
          <w:kern w:val="2"/>
          <w:sz w:val="32"/>
          <w:szCs w:val="32"/>
          <w:lang w:val="en-US" w:eastAsia="zh-CN"/>
        </w:rPr>
        <w:t>10天，2035年应急供水量为20万立方米/日。</w:t>
      </w:r>
      <w:r>
        <w:rPr>
          <w:rFonts w:hint="eastAsia" w:ascii="仿宋_GB2312" w:hAnsi="仿宋_GB2312" w:eastAsia="仿宋_GB2312" w:cs="仿宋_GB2312"/>
          <w:kern w:val="2"/>
          <w:sz w:val="32"/>
          <w:szCs w:val="32"/>
        </w:rPr>
        <w:t>项目总投资28941.39万元，</w:t>
      </w:r>
      <w:r>
        <w:rPr>
          <w:rFonts w:hint="eastAsia" w:ascii="仿宋_GB2312" w:hAnsi="仿宋_GB2312" w:eastAsia="仿宋_GB2312" w:cs="仿宋_GB2312"/>
          <w:kern w:val="2"/>
          <w:sz w:val="32"/>
          <w:szCs w:val="32"/>
          <w:lang w:eastAsia="zh-CN"/>
        </w:rPr>
        <w:t>其中环保投资</w:t>
      </w:r>
      <w:r>
        <w:rPr>
          <w:rFonts w:hint="eastAsia" w:ascii="仿宋_GB2312" w:hAnsi="仿宋_GB2312" w:eastAsia="仿宋_GB2312" w:cs="仿宋_GB2312"/>
          <w:kern w:val="2"/>
          <w:sz w:val="32"/>
          <w:szCs w:val="32"/>
          <w:lang w:val="en-US" w:eastAsia="zh-CN"/>
        </w:rPr>
        <w:t>670万元，占总投资2.23%，</w:t>
      </w:r>
      <w:r>
        <w:rPr>
          <w:rFonts w:hint="eastAsia" w:ascii="仿宋_GB2312" w:hAnsi="仿宋_GB2312" w:eastAsia="仿宋_GB2312" w:cs="仿宋_GB2312"/>
          <w:kern w:val="2"/>
          <w:sz w:val="32"/>
          <w:szCs w:val="32"/>
        </w:rPr>
        <w:t>建设工期3</w:t>
      </w:r>
      <w:r>
        <w:rPr>
          <w:rFonts w:ascii="仿宋_GB2312" w:hAnsi="仿宋_GB2312" w:eastAsia="仿宋_GB2312" w:cs="仿宋_GB2312"/>
          <w:kern w:val="2"/>
          <w:sz w:val="32"/>
          <w:szCs w:val="32"/>
        </w:rPr>
        <w:t>6</w:t>
      </w:r>
      <w:r>
        <w:rPr>
          <w:rFonts w:hint="eastAsia" w:ascii="仿宋_GB2312" w:hAnsi="仿宋_GB2312" w:eastAsia="仿宋_GB2312" w:cs="仿宋_GB2312"/>
          <w:kern w:val="2"/>
          <w:sz w:val="32"/>
          <w:szCs w:val="32"/>
        </w:rPr>
        <w:t>个月。</w:t>
      </w:r>
    </w:p>
    <w:p>
      <w:pPr>
        <w:widowControl w:val="0"/>
        <w:spacing w:after="0" w:line="560" w:lineRule="exact"/>
        <w:ind w:firstLine="640" w:firstLineChars="200"/>
        <w:jc w:val="both"/>
        <w:rPr>
          <w:rFonts w:hint="eastAsia" w:ascii="仿宋_GB2312" w:hAnsi="仿宋" w:eastAsia="仿宋_GB2312"/>
          <w:color w:val="auto"/>
          <w:kern w:val="2"/>
          <w:sz w:val="32"/>
          <w:szCs w:val="32"/>
        </w:rPr>
      </w:pPr>
      <w:r>
        <w:rPr>
          <w:rFonts w:hint="eastAsia" w:ascii="仿宋_GB2312" w:hAnsi="仿宋" w:eastAsia="仿宋_GB2312"/>
          <w:kern w:val="2"/>
          <w:sz w:val="32"/>
          <w:szCs w:val="32"/>
        </w:rPr>
        <w:t>根据《报告表》结论、专家审查意见、常德市生态环境局</w:t>
      </w:r>
      <w:r>
        <w:rPr>
          <w:rFonts w:hint="eastAsia" w:ascii="仿宋_GB2312" w:hAnsi="仿宋" w:eastAsia="仿宋_GB2312"/>
          <w:kern w:val="2"/>
          <w:sz w:val="32"/>
          <w:szCs w:val="32"/>
          <w:lang w:eastAsia="zh-CN"/>
        </w:rPr>
        <w:t>武陵</w:t>
      </w:r>
      <w:r>
        <w:rPr>
          <w:rFonts w:hint="eastAsia" w:ascii="仿宋_GB2312" w:hAnsi="仿宋" w:eastAsia="仿宋_GB2312"/>
          <w:kern w:val="2"/>
          <w:sz w:val="32"/>
          <w:szCs w:val="32"/>
        </w:rPr>
        <w:t>分局</w:t>
      </w:r>
      <w:r>
        <w:rPr>
          <w:rFonts w:hint="eastAsia" w:ascii="仿宋_GB2312" w:hAnsi="仿宋" w:eastAsia="仿宋_GB2312"/>
          <w:kern w:val="2"/>
          <w:sz w:val="32"/>
          <w:szCs w:val="32"/>
          <w:lang w:eastAsia="zh-CN"/>
        </w:rPr>
        <w:t>和鼎城</w:t>
      </w:r>
      <w:r>
        <w:rPr>
          <w:rFonts w:hint="eastAsia" w:ascii="仿宋_GB2312" w:hAnsi="仿宋" w:eastAsia="仿宋_GB2312"/>
          <w:kern w:val="2"/>
          <w:sz w:val="32"/>
          <w:szCs w:val="32"/>
        </w:rPr>
        <w:t>分局的预审意见</w:t>
      </w:r>
      <w:r>
        <w:rPr>
          <w:rFonts w:hint="eastAsia" w:ascii="仿宋_GB2312" w:hAnsi="仿宋" w:eastAsia="仿宋_GB2312"/>
          <w:kern w:val="2"/>
          <w:sz w:val="32"/>
          <w:szCs w:val="32"/>
          <w:lang w:eastAsia="zh-CN"/>
        </w:rPr>
        <w:t>，以及常德市发展和改革委员会、</w:t>
      </w:r>
      <w:r>
        <w:rPr>
          <w:rFonts w:hint="eastAsia" w:ascii="仿宋_GB2312" w:hAnsi="仿宋" w:eastAsia="仿宋_GB2312"/>
          <w:kern w:val="2"/>
          <w:sz w:val="32"/>
          <w:szCs w:val="32"/>
        </w:rPr>
        <w:t>常德市自然资源和规划局、常德市水利局、常德市文化旅游广电体育局等部门意见，项目不涉及自然保护区、风景名胜区、自然公园和生态保护红线等环境敏感区，但涉及饮用水水源保护区、永久基本农田和文物保护单位等环境敏感区，项目总体符合</w:t>
      </w:r>
      <w:r>
        <w:rPr>
          <w:rFonts w:hint="eastAsia" w:ascii="仿宋_GB2312" w:hAnsi="仿宋" w:eastAsia="仿宋_GB2312"/>
          <w:kern w:val="2"/>
          <w:sz w:val="32"/>
          <w:szCs w:val="32"/>
          <w:lang w:eastAsia="zh-CN"/>
        </w:rPr>
        <w:t>相关规划要求，以及</w:t>
      </w:r>
      <w:r>
        <w:rPr>
          <w:rFonts w:hint="eastAsia" w:ascii="仿宋_GB2312" w:hAnsi="仿宋" w:eastAsia="仿宋_GB2312"/>
          <w:kern w:val="2"/>
          <w:sz w:val="32"/>
          <w:szCs w:val="32"/>
        </w:rPr>
        <w:t>《常德市生态环境分区管控更新成果（202</w:t>
      </w:r>
      <w:r>
        <w:rPr>
          <w:rFonts w:ascii="仿宋_GB2312" w:hAnsi="仿宋" w:eastAsia="仿宋_GB2312"/>
          <w:kern w:val="2"/>
          <w:sz w:val="32"/>
          <w:szCs w:val="32"/>
        </w:rPr>
        <w:t>3</w:t>
      </w:r>
      <w:r>
        <w:rPr>
          <w:rFonts w:hint="eastAsia" w:ascii="仿宋_GB2312" w:hAnsi="仿宋" w:eastAsia="仿宋_GB2312"/>
          <w:kern w:val="2"/>
          <w:sz w:val="32"/>
          <w:szCs w:val="32"/>
        </w:rPr>
        <w:t>年版）》（常环发〔2024〕10号）中相应的生态环境管控单元生态环境准入要求。</w:t>
      </w:r>
      <w:r>
        <w:rPr>
          <w:rFonts w:hint="eastAsia" w:ascii="仿宋_GB2312" w:hAnsi="仿宋" w:eastAsia="仿宋_GB2312"/>
          <w:color w:val="auto"/>
          <w:kern w:val="2"/>
          <w:sz w:val="32"/>
          <w:szCs w:val="32"/>
        </w:rPr>
        <w:t>在全面落实《报告表》及批复提出的各项</w:t>
      </w:r>
      <w:r>
        <w:rPr>
          <w:rFonts w:hint="eastAsia" w:ascii="仿宋_GB2312" w:hAnsi="仿宋" w:eastAsia="仿宋_GB2312"/>
          <w:color w:val="auto"/>
          <w:kern w:val="2"/>
          <w:sz w:val="32"/>
          <w:szCs w:val="32"/>
          <w:lang w:val="en-US" w:eastAsia="zh-CN"/>
        </w:rPr>
        <w:t>生态环境保护措施后，对环境的不利影响能够得到缓解和控制</w:t>
      </w:r>
      <w:r>
        <w:rPr>
          <w:rFonts w:hint="eastAsia" w:ascii="仿宋_GB2312" w:hAnsi="仿宋" w:eastAsia="仿宋_GB2312"/>
          <w:color w:val="auto"/>
          <w:kern w:val="2"/>
          <w:sz w:val="32"/>
          <w:szCs w:val="32"/>
        </w:rPr>
        <w:t>，</w:t>
      </w:r>
      <w:r>
        <w:rPr>
          <w:rFonts w:hint="eastAsia" w:ascii="仿宋_GB2312" w:hAnsi="仿宋" w:eastAsia="仿宋_GB2312"/>
          <w:color w:val="auto"/>
          <w:kern w:val="2"/>
          <w:sz w:val="32"/>
          <w:szCs w:val="32"/>
          <w:lang w:eastAsia="zh-CN"/>
        </w:rPr>
        <w:t>从生态环境保护角度，</w:t>
      </w:r>
      <w:r>
        <w:rPr>
          <w:rFonts w:hint="eastAsia" w:ascii="仿宋_GB2312" w:hAnsi="仿宋" w:eastAsia="仿宋_GB2312"/>
          <w:color w:val="auto"/>
          <w:kern w:val="2"/>
          <w:sz w:val="32"/>
          <w:szCs w:val="32"/>
        </w:rPr>
        <w:t>我局原则同意</w:t>
      </w:r>
      <w:r>
        <w:rPr>
          <w:rFonts w:hint="eastAsia" w:ascii="仿宋_GB2312" w:hAnsi="仿宋" w:eastAsia="仿宋_GB2312"/>
          <w:color w:val="auto"/>
          <w:kern w:val="2"/>
          <w:sz w:val="32"/>
          <w:szCs w:val="32"/>
          <w:lang w:eastAsia="zh-CN"/>
        </w:rPr>
        <w:t>项目</w:t>
      </w:r>
      <w:r>
        <w:rPr>
          <w:rFonts w:hint="eastAsia" w:ascii="仿宋_GB2312" w:hAnsi="仿宋" w:eastAsia="仿宋_GB2312"/>
          <w:color w:val="auto"/>
          <w:kern w:val="2"/>
          <w:sz w:val="32"/>
          <w:szCs w:val="32"/>
        </w:rPr>
        <w:t>建设。</w:t>
      </w:r>
    </w:p>
    <w:p>
      <w:pPr>
        <w:widowControl w:val="0"/>
        <w:spacing w:after="0" w:line="560" w:lineRule="exact"/>
        <w:ind w:firstLine="640" w:firstLineChars="200"/>
        <w:jc w:val="both"/>
        <w:rPr>
          <w:rFonts w:hint="eastAsia" w:ascii="仿宋_GB2312" w:hAnsi="仿宋" w:eastAsia="仿宋_GB2312"/>
          <w:color w:val="auto"/>
          <w:kern w:val="2"/>
          <w:sz w:val="32"/>
          <w:szCs w:val="32"/>
        </w:rPr>
      </w:pPr>
      <w:r>
        <w:rPr>
          <w:rFonts w:hint="eastAsia" w:ascii="仿宋_GB2312" w:hAnsi="仿宋" w:eastAsia="仿宋_GB2312"/>
          <w:color w:val="auto"/>
          <w:kern w:val="2"/>
          <w:sz w:val="32"/>
          <w:szCs w:val="32"/>
        </w:rPr>
        <w:t>二、项目在</w:t>
      </w:r>
      <w:r>
        <w:rPr>
          <w:rFonts w:hint="eastAsia" w:ascii="仿宋_GB2312" w:hAnsi="仿宋" w:eastAsia="仿宋_GB2312"/>
          <w:color w:val="auto"/>
          <w:kern w:val="2"/>
          <w:sz w:val="32"/>
          <w:szCs w:val="32"/>
          <w:lang w:eastAsia="zh-CN"/>
        </w:rPr>
        <w:t>设计、</w:t>
      </w:r>
      <w:r>
        <w:rPr>
          <w:rFonts w:hint="eastAsia" w:ascii="仿宋_GB2312" w:hAnsi="仿宋" w:eastAsia="仿宋_GB2312"/>
          <w:color w:val="auto"/>
          <w:kern w:val="2"/>
          <w:sz w:val="32"/>
          <w:szCs w:val="32"/>
        </w:rPr>
        <w:t>建设和营运过程中，须严格落实《报告表》提出的各项</w:t>
      </w:r>
      <w:r>
        <w:rPr>
          <w:rFonts w:hint="eastAsia" w:ascii="仿宋_GB2312" w:hAnsi="仿宋" w:eastAsia="仿宋_GB2312"/>
          <w:color w:val="auto"/>
          <w:kern w:val="2"/>
          <w:sz w:val="32"/>
          <w:szCs w:val="32"/>
          <w:lang w:val="en-US" w:eastAsia="zh-CN"/>
        </w:rPr>
        <w:t>生态环境保护措施</w:t>
      </w:r>
      <w:r>
        <w:rPr>
          <w:rFonts w:hint="eastAsia" w:ascii="仿宋_GB2312" w:hAnsi="仿宋" w:eastAsia="仿宋_GB2312"/>
          <w:color w:val="auto"/>
          <w:kern w:val="2"/>
          <w:sz w:val="32"/>
          <w:szCs w:val="32"/>
        </w:rPr>
        <w:t>，着重做好以下工作：</w:t>
      </w:r>
    </w:p>
    <w:p>
      <w:pPr>
        <w:widowControl w:val="0"/>
        <w:spacing w:after="0" w:line="560" w:lineRule="exact"/>
        <w:ind w:firstLine="640" w:firstLineChars="200"/>
        <w:jc w:val="both"/>
        <w:rPr>
          <w:rFonts w:ascii="仿宋_GB2312" w:hAnsi="仿宋" w:eastAsia="仿宋_GB2312"/>
          <w:kern w:val="2"/>
          <w:sz w:val="32"/>
          <w:szCs w:val="32"/>
        </w:rPr>
      </w:pPr>
      <w:r>
        <w:rPr>
          <w:rFonts w:hint="eastAsia" w:ascii="仿宋_GB2312" w:hAnsi="仿宋" w:eastAsia="仿宋_GB2312"/>
          <w:kern w:val="2"/>
          <w:sz w:val="32"/>
          <w:szCs w:val="32"/>
        </w:rPr>
        <w:t>（一）优化工程线路和施工布置。</w:t>
      </w:r>
      <w:r>
        <w:rPr>
          <w:rFonts w:hint="eastAsia" w:ascii="仿宋_GB2312" w:hAnsi="仿宋" w:eastAsia="仿宋_GB2312"/>
          <w:kern w:val="2"/>
          <w:sz w:val="32"/>
          <w:szCs w:val="32"/>
          <w:lang w:eastAsia="zh-CN"/>
        </w:rPr>
        <w:t>因项目部分</w:t>
      </w:r>
      <w:r>
        <w:rPr>
          <w:rFonts w:hint="eastAsia" w:ascii="仿宋_GB2312" w:hAnsi="仿宋" w:eastAsia="仿宋_GB2312"/>
          <w:kern w:val="2"/>
          <w:sz w:val="32"/>
          <w:szCs w:val="32"/>
        </w:rPr>
        <w:t>涉及永久基本农田和文物保护单位</w:t>
      </w:r>
      <w:r>
        <w:rPr>
          <w:rFonts w:hint="eastAsia" w:ascii="仿宋_GB2312" w:hAnsi="仿宋" w:eastAsia="仿宋_GB2312"/>
          <w:kern w:val="2"/>
          <w:sz w:val="32"/>
          <w:szCs w:val="32"/>
          <w:lang w:eastAsia="zh-CN"/>
        </w:rPr>
        <w:t>等敏感目标，建设单位应根据相关部门出具的意见，</w:t>
      </w:r>
      <w:r>
        <w:rPr>
          <w:rFonts w:hint="eastAsia" w:ascii="仿宋_GB2312" w:hAnsi="仿宋" w:eastAsia="仿宋_GB2312"/>
          <w:kern w:val="2"/>
          <w:sz w:val="32"/>
          <w:szCs w:val="32"/>
        </w:rPr>
        <w:t>在</w:t>
      </w:r>
      <w:r>
        <w:rPr>
          <w:rFonts w:hint="eastAsia" w:ascii="仿宋_GB2312" w:hAnsi="仿宋" w:eastAsia="仿宋_GB2312"/>
          <w:kern w:val="2"/>
          <w:sz w:val="32"/>
          <w:szCs w:val="32"/>
          <w:lang w:eastAsia="zh-CN"/>
        </w:rPr>
        <w:t>后续</w:t>
      </w:r>
      <w:r>
        <w:rPr>
          <w:rFonts w:hint="eastAsia" w:ascii="仿宋_GB2312" w:hAnsi="仿宋" w:eastAsia="仿宋_GB2312"/>
          <w:kern w:val="2"/>
          <w:sz w:val="32"/>
          <w:szCs w:val="32"/>
        </w:rPr>
        <w:t>阶段继续优化</w:t>
      </w:r>
      <w:r>
        <w:rPr>
          <w:rFonts w:hint="eastAsia" w:ascii="仿宋_GB2312" w:hAnsi="仿宋" w:eastAsia="仿宋_GB2312"/>
          <w:kern w:val="2"/>
          <w:sz w:val="32"/>
          <w:szCs w:val="32"/>
          <w:lang w:eastAsia="zh-CN"/>
        </w:rPr>
        <w:t>工程</w:t>
      </w:r>
      <w:r>
        <w:rPr>
          <w:rFonts w:hint="eastAsia" w:ascii="仿宋_GB2312" w:hAnsi="仿宋" w:eastAsia="仿宋_GB2312"/>
          <w:kern w:val="2"/>
          <w:sz w:val="32"/>
          <w:szCs w:val="32"/>
        </w:rPr>
        <w:t>线路</w:t>
      </w:r>
      <w:r>
        <w:rPr>
          <w:rFonts w:hint="eastAsia" w:ascii="仿宋_GB2312" w:hAnsi="仿宋" w:eastAsia="仿宋_GB2312"/>
          <w:kern w:val="2"/>
          <w:sz w:val="32"/>
          <w:szCs w:val="32"/>
          <w:lang w:eastAsia="zh-CN"/>
        </w:rPr>
        <w:t>选线</w:t>
      </w:r>
      <w:r>
        <w:rPr>
          <w:rFonts w:hint="eastAsia" w:ascii="仿宋_GB2312" w:hAnsi="仿宋" w:eastAsia="仿宋_GB2312"/>
          <w:kern w:val="2"/>
          <w:sz w:val="32"/>
          <w:szCs w:val="32"/>
        </w:rPr>
        <w:t>方案，尽量避让环境敏感区</w:t>
      </w:r>
      <w:r>
        <w:rPr>
          <w:rFonts w:hint="eastAsia" w:ascii="仿宋_GB2312" w:hAnsi="仿宋" w:eastAsia="仿宋_GB2312"/>
          <w:kern w:val="2"/>
          <w:sz w:val="32"/>
          <w:szCs w:val="32"/>
          <w:lang w:eastAsia="zh-CN"/>
        </w:rPr>
        <w:t>，因特殊原因无法避让的，须采取相关保护措施并办理相关审批手续</w:t>
      </w:r>
      <w:r>
        <w:rPr>
          <w:rFonts w:hint="eastAsia" w:ascii="仿宋_GB2312" w:hAnsi="仿宋" w:eastAsia="仿宋_GB2312"/>
          <w:kern w:val="2"/>
          <w:sz w:val="32"/>
          <w:szCs w:val="32"/>
        </w:rPr>
        <w:t>。施工边界设置围挡，严格控制工程施工占地范围，施工便道等临时用地严格按照设计范围设合理。</w:t>
      </w:r>
    </w:p>
    <w:p>
      <w:pPr>
        <w:widowControl w:val="0"/>
        <w:spacing w:after="0" w:line="560" w:lineRule="exact"/>
        <w:ind w:firstLine="640" w:firstLineChars="200"/>
        <w:jc w:val="both"/>
        <w:rPr>
          <w:rFonts w:ascii="仿宋_GB2312" w:hAnsi="仿宋" w:eastAsia="仿宋_GB2312"/>
          <w:kern w:val="2"/>
          <w:sz w:val="32"/>
          <w:szCs w:val="32"/>
        </w:rPr>
      </w:pPr>
      <w:r>
        <w:rPr>
          <w:rFonts w:hint="eastAsia" w:ascii="仿宋_GB2312" w:hAnsi="仿宋" w:eastAsia="仿宋_GB2312"/>
          <w:kern w:val="2"/>
          <w:sz w:val="32"/>
          <w:szCs w:val="32"/>
        </w:rPr>
        <w:t>（二）严格落实生态环境保护措施。优化施工方案和施工工艺，选择合理的施工时序，尽量缩短涉水施工作业时间，减少施工过程对水生生物栖息环境的影响。施工前对表土进行剥离并单独堆存回用，按照边施工边恢复的原则，对施工完成的区域、临时占地及时采取生态恢复措施。加强生态修复设计，坚持因地制宜原则，使用原生表土及乡土物种，保护生物多样性</w:t>
      </w:r>
      <w:r>
        <w:rPr>
          <w:rFonts w:hint="eastAsia" w:ascii="仿宋_GB2312" w:hAnsi="仿宋" w:eastAsia="仿宋_GB2312"/>
          <w:kern w:val="2"/>
          <w:sz w:val="32"/>
          <w:szCs w:val="32"/>
          <w:lang w:eastAsia="zh-CN"/>
        </w:rPr>
        <w:t>。</w:t>
      </w:r>
      <w:r>
        <w:rPr>
          <w:rFonts w:hint="eastAsia" w:ascii="仿宋_GB2312" w:hAnsi="仿宋" w:eastAsia="仿宋_GB2312"/>
          <w:kern w:val="2"/>
          <w:sz w:val="32"/>
          <w:szCs w:val="32"/>
        </w:rPr>
        <w:t>加强对施工人员的宣传教育，严禁随意破坏植被和捕杀野生动物。</w:t>
      </w:r>
    </w:p>
    <w:p>
      <w:pPr>
        <w:widowControl w:val="0"/>
        <w:spacing w:after="0" w:line="560" w:lineRule="exact"/>
        <w:ind w:firstLine="640" w:firstLineChars="200"/>
        <w:jc w:val="both"/>
        <w:rPr>
          <w:rFonts w:ascii="仿宋_GB2312" w:hAnsi="仿宋" w:eastAsia="仿宋_GB2312"/>
          <w:kern w:val="2"/>
          <w:sz w:val="32"/>
          <w:szCs w:val="32"/>
        </w:rPr>
      </w:pPr>
      <w:r>
        <w:rPr>
          <w:rFonts w:hint="eastAsia" w:ascii="仿宋_GB2312" w:hAnsi="仿宋" w:eastAsia="仿宋_GB2312"/>
          <w:kern w:val="2"/>
          <w:sz w:val="32"/>
          <w:szCs w:val="32"/>
        </w:rPr>
        <w:t>（三）严格保护饮用水水源保护区。严格限制饮用水水源保护区内施工范围，优化施工组织、缩短施工工期</w:t>
      </w:r>
      <w:r>
        <w:rPr>
          <w:rFonts w:hint="eastAsia" w:ascii="仿宋_GB2312" w:hAnsi="仿宋" w:eastAsia="仿宋_GB2312"/>
          <w:kern w:val="2"/>
          <w:sz w:val="32"/>
          <w:szCs w:val="32"/>
          <w:lang w:eastAsia="zh-CN"/>
        </w:rPr>
        <w:t>。</w:t>
      </w:r>
      <w:r>
        <w:rPr>
          <w:rFonts w:hint="eastAsia" w:ascii="仿宋_GB2312" w:hAnsi="仿宋" w:eastAsia="仿宋_GB2312"/>
          <w:kern w:val="2"/>
          <w:sz w:val="32"/>
          <w:szCs w:val="32"/>
        </w:rPr>
        <w:t>禁止在饮用水水源保护区内设置排污口、施工营地</w:t>
      </w:r>
      <w:r>
        <w:rPr>
          <w:rFonts w:hint="eastAsia" w:ascii="仿宋_GB2312" w:hAnsi="仿宋" w:eastAsia="仿宋_GB2312"/>
          <w:kern w:val="2"/>
          <w:sz w:val="32"/>
          <w:szCs w:val="32"/>
          <w:lang w:eastAsia="zh-CN"/>
        </w:rPr>
        <w:t>、弃渣场</w:t>
      </w:r>
      <w:r>
        <w:rPr>
          <w:rFonts w:hint="eastAsia" w:ascii="仿宋_GB2312" w:hAnsi="仿宋" w:eastAsia="仿宋_GB2312"/>
          <w:kern w:val="2"/>
          <w:sz w:val="32"/>
          <w:szCs w:val="32"/>
        </w:rPr>
        <w:t>等，禁止向水源地排放废水、倾倒生活垃圾及固体废物</w:t>
      </w:r>
      <w:r>
        <w:rPr>
          <w:rFonts w:hint="eastAsia" w:ascii="仿宋_GB2312" w:hAnsi="仿宋" w:eastAsia="仿宋_GB2312"/>
          <w:kern w:val="2"/>
          <w:sz w:val="32"/>
          <w:szCs w:val="32"/>
          <w:lang w:eastAsia="zh-CN"/>
        </w:rPr>
        <w:t>。</w:t>
      </w:r>
      <w:r>
        <w:rPr>
          <w:rFonts w:hint="eastAsia" w:ascii="仿宋_GB2312" w:hAnsi="仿宋" w:eastAsia="仿宋_GB2312"/>
          <w:kern w:val="2"/>
          <w:sz w:val="32"/>
          <w:szCs w:val="32"/>
        </w:rPr>
        <w:t>加强施工机械设备的维护管理，禁止跑冒滴漏现象发生</w:t>
      </w:r>
      <w:r>
        <w:rPr>
          <w:rFonts w:hint="eastAsia" w:ascii="仿宋_GB2312" w:hAnsi="仿宋" w:eastAsia="仿宋_GB2312"/>
          <w:kern w:val="2"/>
          <w:sz w:val="32"/>
          <w:szCs w:val="32"/>
          <w:lang w:eastAsia="zh-CN"/>
        </w:rPr>
        <w:t>。</w:t>
      </w:r>
      <w:r>
        <w:rPr>
          <w:rFonts w:hint="eastAsia" w:ascii="仿宋_GB2312" w:hAnsi="仿宋" w:eastAsia="仿宋_GB2312"/>
          <w:kern w:val="2"/>
          <w:sz w:val="32"/>
          <w:szCs w:val="32"/>
        </w:rPr>
        <w:t>加强施工期水源地水质监测，及时公布监测结果</w:t>
      </w:r>
      <w:r>
        <w:rPr>
          <w:rFonts w:hint="eastAsia" w:ascii="仿宋_GB2312" w:hAnsi="仿宋" w:eastAsia="仿宋_GB2312"/>
          <w:kern w:val="2"/>
          <w:sz w:val="32"/>
          <w:szCs w:val="32"/>
          <w:lang w:eastAsia="zh-CN"/>
        </w:rPr>
        <w:t>。</w:t>
      </w:r>
      <w:r>
        <w:rPr>
          <w:rFonts w:hint="eastAsia" w:ascii="仿宋_GB2312" w:hAnsi="仿宋" w:eastAsia="仿宋_GB2312"/>
          <w:kern w:val="2"/>
          <w:sz w:val="32"/>
          <w:szCs w:val="32"/>
        </w:rPr>
        <w:t>加强施工过程中的环境监管，配备必要的应急物资，杜绝饮用水水源保护区的污染事件发生。</w:t>
      </w:r>
    </w:p>
    <w:p>
      <w:pPr>
        <w:widowControl w:val="0"/>
        <w:spacing w:after="0" w:line="560" w:lineRule="exact"/>
        <w:ind w:firstLine="640" w:firstLineChars="200"/>
        <w:jc w:val="both"/>
        <w:rPr>
          <w:rFonts w:ascii="仿宋_GB2312" w:hAnsi="仿宋" w:eastAsia="仿宋_GB2312"/>
          <w:kern w:val="2"/>
          <w:sz w:val="32"/>
          <w:szCs w:val="32"/>
        </w:rPr>
      </w:pPr>
      <w:r>
        <w:rPr>
          <w:rFonts w:hint="eastAsia" w:ascii="仿宋_GB2312" w:hAnsi="仿宋" w:eastAsia="仿宋_GB2312"/>
          <w:kern w:val="2"/>
          <w:sz w:val="32"/>
          <w:szCs w:val="32"/>
        </w:rPr>
        <w:t>（四）严格落实其他水污染防治措施。在施工现场设置临时车辆冲洗平台和沉淀池，车辆冲洗废水处理后回用于车辆清洗</w:t>
      </w:r>
      <w:r>
        <w:rPr>
          <w:rFonts w:hint="eastAsia" w:ascii="仿宋_GB2312" w:hAnsi="仿宋" w:eastAsia="仿宋_GB2312"/>
          <w:kern w:val="2"/>
          <w:sz w:val="32"/>
          <w:szCs w:val="32"/>
          <w:lang w:eastAsia="zh-CN"/>
        </w:rPr>
        <w:t>。</w:t>
      </w:r>
      <w:r>
        <w:rPr>
          <w:rFonts w:hint="eastAsia" w:ascii="仿宋_GB2312" w:hAnsi="仿宋" w:eastAsia="仿宋_GB2312"/>
          <w:kern w:val="2"/>
          <w:sz w:val="32"/>
          <w:szCs w:val="32"/>
        </w:rPr>
        <w:t>基坑废水沉淀处理后回用于施工场地和道路洒水抑尘</w:t>
      </w:r>
      <w:r>
        <w:rPr>
          <w:rFonts w:hint="eastAsia" w:ascii="仿宋_GB2312" w:hAnsi="仿宋" w:eastAsia="仿宋_GB2312"/>
          <w:kern w:val="2"/>
          <w:sz w:val="32"/>
          <w:szCs w:val="32"/>
          <w:lang w:eastAsia="zh-CN"/>
        </w:rPr>
        <w:t>。</w:t>
      </w:r>
      <w:r>
        <w:rPr>
          <w:rFonts w:hint="eastAsia" w:ascii="仿宋_GB2312" w:hAnsi="仿宋" w:eastAsia="仿宋_GB2312"/>
          <w:kern w:val="2"/>
          <w:sz w:val="32"/>
          <w:szCs w:val="32"/>
        </w:rPr>
        <w:t>隧洞排水经导排沉淀处理后优先回用，无法回用的处理达标后排入附近沟渠，严禁排入饮用水水源保护区</w:t>
      </w:r>
      <w:r>
        <w:rPr>
          <w:rFonts w:hint="eastAsia" w:ascii="仿宋_GB2312" w:hAnsi="仿宋" w:eastAsia="仿宋_GB2312"/>
          <w:kern w:val="2"/>
          <w:sz w:val="32"/>
          <w:szCs w:val="32"/>
          <w:lang w:eastAsia="zh-CN"/>
        </w:rPr>
        <w:t>。</w:t>
      </w:r>
      <w:r>
        <w:rPr>
          <w:rFonts w:hint="eastAsia" w:ascii="仿宋_GB2312" w:hAnsi="仿宋" w:eastAsia="仿宋_GB2312"/>
          <w:kern w:val="2"/>
          <w:sz w:val="32"/>
          <w:szCs w:val="32"/>
        </w:rPr>
        <w:t>泥浆废水经沉淀处理后上清液回用不外排</w:t>
      </w:r>
      <w:r>
        <w:rPr>
          <w:rFonts w:hint="eastAsia" w:ascii="仿宋_GB2312" w:hAnsi="仿宋" w:eastAsia="仿宋_GB2312"/>
          <w:kern w:val="2"/>
          <w:sz w:val="32"/>
          <w:szCs w:val="32"/>
          <w:lang w:eastAsia="zh-CN"/>
        </w:rPr>
        <w:t>。</w:t>
      </w:r>
      <w:r>
        <w:rPr>
          <w:rFonts w:hint="eastAsia" w:ascii="仿宋_GB2312" w:hAnsi="仿宋" w:eastAsia="仿宋_GB2312"/>
          <w:kern w:val="2"/>
          <w:sz w:val="32"/>
          <w:szCs w:val="32"/>
        </w:rPr>
        <w:t>施工人员生活污水依托周边农户的现有污水设施处理处置。</w:t>
      </w:r>
    </w:p>
    <w:p>
      <w:pPr>
        <w:widowControl w:val="0"/>
        <w:spacing w:after="0" w:line="560" w:lineRule="exact"/>
        <w:ind w:firstLine="640" w:firstLineChars="200"/>
        <w:jc w:val="both"/>
        <w:rPr>
          <w:rFonts w:ascii="仿宋_GB2312" w:hAnsi="仿宋" w:eastAsia="仿宋_GB2312"/>
          <w:kern w:val="2"/>
          <w:sz w:val="32"/>
          <w:szCs w:val="32"/>
        </w:rPr>
      </w:pPr>
      <w:r>
        <w:rPr>
          <w:rFonts w:hint="eastAsia" w:ascii="仿宋_GB2312" w:hAnsi="仿宋" w:eastAsia="仿宋_GB2312"/>
          <w:kern w:val="2"/>
          <w:sz w:val="32"/>
          <w:szCs w:val="32"/>
        </w:rPr>
        <w:t>（五）严格落实固体废物收集和处置措施。施工人员生活垃圾分类收集后由环卫部门清运集中处置。建筑垃圾尽量回收利用，不可回收利用部分交由</w:t>
      </w:r>
      <w:r>
        <w:rPr>
          <w:rFonts w:hint="eastAsia" w:ascii="仿宋_GB2312" w:hAnsi="仿宋" w:eastAsia="仿宋_GB2312"/>
          <w:kern w:val="2"/>
          <w:sz w:val="32"/>
          <w:szCs w:val="32"/>
          <w:lang w:eastAsia="zh-CN"/>
        </w:rPr>
        <w:t>专业</w:t>
      </w:r>
      <w:r>
        <w:rPr>
          <w:rFonts w:hint="eastAsia" w:ascii="仿宋_GB2312" w:hAnsi="仿宋" w:eastAsia="仿宋_GB2312"/>
          <w:kern w:val="2"/>
          <w:sz w:val="32"/>
          <w:szCs w:val="32"/>
        </w:rPr>
        <w:t>部门进行集中处置。</w:t>
      </w:r>
    </w:p>
    <w:p>
      <w:pPr>
        <w:widowControl w:val="0"/>
        <w:spacing w:after="0" w:line="560" w:lineRule="exact"/>
        <w:ind w:firstLine="640" w:firstLineChars="200"/>
        <w:jc w:val="both"/>
        <w:rPr>
          <w:rFonts w:hint="eastAsia" w:ascii="仿宋_GB2312" w:hAnsi="仿宋" w:eastAsia="仿宋_GB2312"/>
          <w:kern w:val="2"/>
          <w:sz w:val="32"/>
          <w:szCs w:val="32"/>
          <w:lang w:eastAsia="zh-CN"/>
        </w:rPr>
      </w:pPr>
      <w:r>
        <w:rPr>
          <w:rFonts w:hint="eastAsia" w:ascii="仿宋_GB2312" w:hAnsi="仿宋" w:eastAsia="仿宋_GB2312"/>
          <w:kern w:val="2"/>
          <w:sz w:val="32"/>
          <w:szCs w:val="32"/>
        </w:rPr>
        <w:t>（六）严格落实噪声和大气污染防治措施。优化施工机械设备选型，选用低噪声的施工机械和设备；合理安排施工时段，尽量避免夜间和午休时段从事有高噪声设备运行的施工活动；在噪声敏感建筑物集中区域禁止夜间进行产生噪声的施工作业，因生产工艺要求或者其他特殊需要必须连续施工作业的，应当</w:t>
      </w:r>
      <w:r>
        <w:rPr>
          <w:rFonts w:hint="eastAsia" w:ascii="仿宋_GB2312" w:hAnsi="仿宋" w:eastAsia="仿宋_GB2312"/>
          <w:kern w:val="2"/>
          <w:sz w:val="32"/>
          <w:szCs w:val="32"/>
          <w:lang w:eastAsia="zh-CN"/>
        </w:rPr>
        <w:t>向</w:t>
      </w:r>
      <w:r>
        <w:rPr>
          <w:rFonts w:hint="eastAsia" w:ascii="仿宋_GB2312" w:hAnsi="仿宋" w:eastAsia="仿宋_GB2312"/>
          <w:kern w:val="2"/>
          <w:sz w:val="32"/>
          <w:szCs w:val="32"/>
        </w:rPr>
        <w:t>相关主管部门</w:t>
      </w:r>
      <w:r>
        <w:rPr>
          <w:rFonts w:hint="eastAsia" w:ascii="仿宋_GB2312" w:hAnsi="仿宋" w:eastAsia="仿宋_GB2312"/>
          <w:kern w:val="2"/>
          <w:sz w:val="32"/>
          <w:szCs w:val="32"/>
          <w:lang w:eastAsia="zh-CN"/>
        </w:rPr>
        <w:t>取得合法手续</w:t>
      </w:r>
      <w:r>
        <w:rPr>
          <w:rFonts w:hint="eastAsia" w:ascii="仿宋_GB2312" w:hAnsi="仿宋" w:eastAsia="仿宋_GB2312"/>
          <w:kern w:val="2"/>
          <w:sz w:val="32"/>
          <w:szCs w:val="32"/>
        </w:rPr>
        <w:t>，并在施工现场显著位置公示或者以其他方式公告附近居民。严格落实建筑施工扬尘污染防治“8 个 100%”抑尘措施</w:t>
      </w:r>
      <w:r>
        <w:rPr>
          <w:rFonts w:hint="eastAsia" w:ascii="仿宋_GB2312" w:hAnsi="仿宋" w:eastAsia="仿宋_GB2312"/>
          <w:kern w:val="2"/>
          <w:sz w:val="32"/>
          <w:szCs w:val="32"/>
          <w:lang w:eastAsia="zh-CN"/>
        </w:rPr>
        <w:t>；</w:t>
      </w:r>
      <w:r>
        <w:rPr>
          <w:rFonts w:hint="eastAsia" w:ascii="仿宋_GB2312" w:hAnsi="仿宋" w:eastAsia="仿宋_GB2312"/>
          <w:kern w:val="2"/>
          <w:sz w:val="32"/>
          <w:szCs w:val="32"/>
        </w:rPr>
        <w:t>选用合格机械设备、合格燃油，加强设备维护，鼓励使用新能源运输车辆和机械设备</w:t>
      </w:r>
      <w:r>
        <w:rPr>
          <w:rFonts w:hint="eastAsia" w:ascii="仿宋_GB2312" w:hAnsi="仿宋" w:eastAsia="仿宋_GB2312"/>
          <w:kern w:val="2"/>
          <w:sz w:val="32"/>
          <w:szCs w:val="32"/>
          <w:lang w:eastAsia="zh-CN"/>
        </w:rPr>
        <w:t>，</w:t>
      </w:r>
      <w:r>
        <w:rPr>
          <w:rFonts w:hint="eastAsia" w:ascii="仿宋_GB2312" w:hAnsi="仿宋" w:eastAsia="仿宋_GB2312"/>
          <w:kern w:val="2"/>
          <w:sz w:val="32"/>
          <w:szCs w:val="32"/>
        </w:rPr>
        <w:t>减轻机械尾气对周围空气环境的影响</w:t>
      </w:r>
      <w:r>
        <w:rPr>
          <w:rFonts w:hint="eastAsia" w:ascii="仿宋_GB2312" w:hAnsi="仿宋" w:eastAsia="仿宋_GB2312"/>
          <w:kern w:val="2"/>
          <w:sz w:val="32"/>
          <w:szCs w:val="32"/>
          <w:lang w:eastAsia="zh-CN"/>
        </w:rPr>
        <w:t>；建筑垃圾等</w:t>
      </w:r>
      <w:r>
        <w:rPr>
          <w:rFonts w:hint="eastAsia" w:ascii="仿宋_GB2312" w:hAnsi="仿宋" w:eastAsia="仿宋_GB2312"/>
          <w:kern w:val="2"/>
          <w:sz w:val="32"/>
          <w:szCs w:val="32"/>
        </w:rPr>
        <w:t>使用专用渣土车密闭运输，运输路线尽量避开居民集中区</w:t>
      </w:r>
      <w:r>
        <w:rPr>
          <w:rFonts w:hint="eastAsia" w:ascii="仿宋_GB2312" w:hAnsi="仿宋" w:eastAsia="仿宋_GB2312"/>
          <w:kern w:val="2"/>
          <w:sz w:val="32"/>
          <w:szCs w:val="32"/>
          <w:lang w:eastAsia="zh-CN"/>
        </w:rPr>
        <w:t>。</w:t>
      </w:r>
    </w:p>
    <w:p>
      <w:pPr>
        <w:widowControl w:val="0"/>
        <w:spacing w:after="0" w:line="560" w:lineRule="exact"/>
        <w:ind w:firstLine="640" w:firstLineChars="200"/>
        <w:jc w:val="both"/>
        <w:rPr>
          <w:rFonts w:hint="default" w:ascii="仿宋_GB2312" w:hAnsi="仿宋" w:eastAsia="仿宋_GB2312"/>
          <w:color w:val="auto"/>
          <w:kern w:val="2"/>
          <w:sz w:val="32"/>
          <w:szCs w:val="32"/>
          <w:lang w:val="en-US" w:eastAsia="zh-CN"/>
        </w:rPr>
      </w:pPr>
      <w:r>
        <w:rPr>
          <w:rFonts w:hint="eastAsia" w:ascii="仿宋_GB2312" w:hAnsi="仿宋" w:eastAsia="仿宋_GB2312"/>
          <w:kern w:val="2"/>
          <w:sz w:val="32"/>
          <w:szCs w:val="32"/>
          <w:lang w:eastAsia="zh-CN"/>
        </w:rPr>
        <w:t>三、</w:t>
      </w:r>
      <w:r>
        <w:rPr>
          <w:rFonts w:hint="eastAsia" w:ascii="仿宋_GB2312" w:hAnsi="仿宋" w:eastAsia="仿宋_GB2312"/>
          <w:kern w:val="2"/>
          <w:sz w:val="32"/>
          <w:szCs w:val="32"/>
        </w:rPr>
        <w:t>严格落实环境风险防范措施。严格落实《报告表》提出的各项突发环境事件风险防范措施，严防饮用水水源保护区水污染环境风险事件发生。按照《湖南省突发环境事件应急预案管理办法（修订版）》编制施工期饮用水水源保护区专项应急预案，发生事故时应立即启动应急预案。</w:t>
      </w:r>
    </w:p>
    <w:p>
      <w:pPr>
        <w:widowControl w:val="0"/>
        <w:spacing w:after="0" w:line="560" w:lineRule="exact"/>
        <w:ind w:firstLine="640" w:firstLineChars="200"/>
        <w:jc w:val="both"/>
        <w:rPr>
          <w:rFonts w:hint="eastAsia" w:ascii="仿宋_GB2312" w:hAnsi="仿宋" w:eastAsia="仿宋_GB2312"/>
          <w:color w:val="auto"/>
          <w:kern w:val="2"/>
          <w:sz w:val="32"/>
          <w:szCs w:val="32"/>
        </w:rPr>
      </w:pPr>
      <w:r>
        <w:rPr>
          <w:rFonts w:hint="eastAsia" w:ascii="仿宋_GB2312" w:hAnsi="仿宋" w:eastAsia="仿宋_GB2312"/>
          <w:color w:val="auto"/>
          <w:kern w:val="2"/>
          <w:sz w:val="32"/>
          <w:szCs w:val="32"/>
          <w:lang w:val="en-US" w:eastAsia="zh-CN"/>
        </w:rPr>
        <w:t>四</w:t>
      </w:r>
      <w:r>
        <w:rPr>
          <w:rFonts w:hint="eastAsia" w:ascii="仿宋_GB2312" w:hAnsi="仿宋" w:eastAsia="仿宋_GB2312"/>
          <w:color w:val="auto"/>
          <w:kern w:val="2"/>
          <w:sz w:val="32"/>
          <w:szCs w:val="32"/>
        </w:rPr>
        <w:t>、《报告表》经批复后，项目的性质、规模、地点、采用的</w:t>
      </w:r>
      <w:r>
        <w:rPr>
          <w:rFonts w:hint="eastAsia" w:ascii="仿宋_GB2312" w:hAnsi="仿宋" w:eastAsia="仿宋_GB2312"/>
          <w:color w:val="auto"/>
          <w:kern w:val="2"/>
          <w:sz w:val="32"/>
          <w:szCs w:val="32"/>
          <w:lang w:val="en-US" w:eastAsia="zh-CN"/>
        </w:rPr>
        <w:t>施工</w:t>
      </w:r>
      <w:r>
        <w:rPr>
          <w:rFonts w:hint="eastAsia" w:ascii="仿宋_GB2312" w:hAnsi="仿宋" w:eastAsia="仿宋_GB2312"/>
          <w:color w:val="auto"/>
          <w:kern w:val="2"/>
          <w:sz w:val="32"/>
          <w:szCs w:val="32"/>
        </w:rPr>
        <w:t>工艺</w:t>
      </w:r>
      <w:r>
        <w:rPr>
          <w:rFonts w:hint="eastAsia" w:ascii="仿宋_GB2312" w:hAnsi="仿宋" w:eastAsia="仿宋_GB2312"/>
          <w:color w:val="auto"/>
          <w:kern w:val="2"/>
          <w:sz w:val="32"/>
          <w:szCs w:val="32"/>
          <w:lang w:val="en-US" w:eastAsia="zh-CN"/>
        </w:rPr>
        <w:t>和生态环境保护措施</w:t>
      </w:r>
      <w:r>
        <w:rPr>
          <w:rFonts w:hint="eastAsia" w:ascii="仿宋_GB2312" w:hAnsi="仿宋" w:eastAsia="仿宋_GB2312"/>
          <w:color w:val="auto"/>
          <w:kern w:val="2"/>
          <w:sz w:val="32"/>
          <w:szCs w:val="32"/>
        </w:rPr>
        <w:t>发生重大变动的，应当重新报批项目环境影响评价文件。自批复之日起超过五年，方决定建设项目开工建设的，其环境影响评价文件应报我局重新审核。</w:t>
      </w:r>
    </w:p>
    <w:p>
      <w:pPr>
        <w:widowControl w:val="0"/>
        <w:spacing w:after="0" w:line="560" w:lineRule="exact"/>
        <w:ind w:firstLine="640" w:firstLineChars="200"/>
        <w:jc w:val="both"/>
        <w:rPr>
          <w:rFonts w:hint="eastAsia" w:ascii="仿宋_GB2312" w:hAnsi="仿宋" w:eastAsia="仿宋_GB2312"/>
          <w:color w:val="auto"/>
          <w:kern w:val="2"/>
          <w:sz w:val="32"/>
          <w:szCs w:val="32"/>
          <w:lang w:val="en-US" w:eastAsia="zh-CN"/>
        </w:rPr>
      </w:pPr>
      <w:r>
        <w:rPr>
          <w:rFonts w:hint="eastAsia" w:ascii="仿宋_GB2312" w:hAnsi="仿宋" w:eastAsia="仿宋_GB2312"/>
          <w:color w:val="auto"/>
          <w:kern w:val="2"/>
          <w:sz w:val="32"/>
          <w:szCs w:val="32"/>
          <w:lang w:val="en-US" w:eastAsia="zh-CN"/>
        </w:rPr>
        <w:t>五</w:t>
      </w:r>
      <w:r>
        <w:rPr>
          <w:rFonts w:hint="eastAsia" w:ascii="仿宋_GB2312" w:hAnsi="仿宋" w:eastAsia="仿宋_GB2312"/>
          <w:color w:val="auto"/>
          <w:kern w:val="2"/>
          <w:sz w:val="32"/>
          <w:szCs w:val="32"/>
        </w:rPr>
        <w:t>、</w:t>
      </w:r>
      <w:r>
        <w:rPr>
          <w:rFonts w:hint="eastAsia" w:ascii="仿宋_GB2312" w:hAnsi="仿宋" w:eastAsia="仿宋_GB2312"/>
          <w:color w:val="auto"/>
          <w:kern w:val="2"/>
          <w:sz w:val="32"/>
          <w:szCs w:val="32"/>
          <w:lang w:val="en-US" w:eastAsia="zh-CN"/>
        </w:rPr>
        <w:t>项目建设必须严格执行配套的环境保护设施与主体工程同时设计、同时施工、同时投入使用的环境保护“三同时”制度。在施工招标文件、施工合同和工程监理招标文件中明确环保条款和责任，环保投资必须纳入工程投资概算。项目完工后应</w:t>
      </w:r>
      <w:r>
        <w:rPr>
          <w:rFonts w:hint="eastAsia" w:ascii="仿宋_GB2312" w:hAnsi="仿宋" w:eastAsia="仿宋_GB2312"/>
          <w:color w:val="auto"/>
          <w:kern w:val="2"/>
          <w:sz w:val="32"/>
          <w:szCs w:val="32"/>
        </w:rPr>
        <w:t>严格按规定程序实施竣工环境保护验收。</w:t>
      </w:r>
      <w:r>
        <w:rPr>
          <w:rFonts w:hint="eastAsia" w:ascii="仿宋_GB2312" w:hAnsi="仿宋" w:eastAsia="仿宋_GB2312"/>
          <w:color w:val="auto"/>
          <w:kern w:val="2"/>
          <w:sz w:val="32"/>
          <w:szCs w:val="32"/>
          <w:lang w:val="en-US" w:eastAsia="zh-CN"/>
        </w:rPr>
        <w:t>本项目建设、运行依法需要其他行政许可的，你单位应按规定及时办理并取得其他行政许可。</w:t>
      </w:r>
    </w:p>
    <w:p>
      <w:pPr>
        <w:widowControl w:val="0"/>
        <w:spacing w:after="0" w:line="560" w:lineRule="exact"/>
        <w:ind w:firstLine="640" w:firstLineChars="200"/>
        <w:jc w:val="both"/>
        <w:rPr>
          <w:rFonts w:hint="eastAsia" w:ascii="仿宋_GB2312" w:hAnsi="仿宋" w:eastAsia="仿宋_GB2312"/>
          <w:kern w:val="2"/>
          <w:sz w:val="32"/>
          <w:szCs w:val="32"/>
        </w:rPr>
      </w:pPr>
      <w:r>
        <w:rPr>
          <w:rFonts w:hint="eastAsia" w:ascii="仿宋_GB2312" w:hAnsi="仿宋" w:eastAsia="仿宋_GB2312"/>
          <w:kern w:val="2"/>
          <w:sz w:val="32"/>
          <w:szCs w:val="32"/>
          <w:lang w:eastAsia="zh-CN"/>
        </w:rPr>
        <w:t>六</w:t>
      </w:r>
      <w:r>
        <w:rPr>
          <w:rFonts w:hint="eastAsia" w:ascii="仿宋_GB2312" w:hAnsi="仿宋" w:eastAsia="仿宋_GB2312"/>
          <w:kern w:val="2"/>
          <w:sz w:val="32"/>
          <w:szCs w:val="32"/>
        </w:rPr>
        <w:t>、本项目的环保“三同时”执行情况的监督检查和日常环境管理工作按属地管理原则由常德市生态环境局</w:t>
      </w:r>
      <w:r>
        <w:rPr>
          <w:rFonts w:hint="eastAsia" w:ascii="仿宋_GB2312" w:hAnsi="仿宋" w:eastAsia="仿宋_GB2312"/>
          <w:kern w:val="2"/>
          <w:sz w:val="32"/>
          <w:szCs w:val="32"/>
          <w:lang w:eastAsia="zh-CN"/>
        </w:rPr>
        <w:t>武陵</w:t>
      </w:r>
      <w:r>
        <w:rPr>
          <w:rFonts w:hint="eastAsia" w:ascii="仿宋_GB2312" w:hAnsi="仿宋" w:eastAsia="仿宋_GB2312"/>
          <w:kern w:val="2"/>
          <w:sz w:val="32"/>
          <w:szCs w:val="32"/>
        </w:rPr>
        <w:t>分局和常德市生态环境局</w:t>
      </w:r>
      <w:r>
        <w:rPr>
          <w:rFonts w:hint="eastAsia" w:ascii="仿宋_GB2312" w:hAnsi="仿宋" w:eastAsia="仿宋_GB2312"/>
          <w:kern w:val="2"/>
          <w:sz w:val="32"/>
          <w:szCs w:val="32"/>
          <w:lang w:eastAsia="zh-CN"/>
        </w:rPr>
        <w:t>鼎城</w:t>
      </w:r>
      <w:r>
        <w:rPr>
          <w:rFonts w:hint="eastAsia" w:ascii="仿宋_GB2312" w:hAnsi="仿宋" w:eastAsia="仿宋_GB2312"/>
          <w:kern w:val="2"/>
          <w:sz w:val="32"/>
          <w:szCs w:val="32"/>
        </w:rPr>
        <w:t>分局具体负责。</w:t>
      </w:r>
    </w:p>
    <w:p>
      <w:pPr>
        <w:widowControl w:val="0"/>
        <w:spacing w:after="0" w:line="560" w:lineRule="exact"/>
        <w:ind w:firstLine="640" w:firstLineChars="200"/>
        <w:jc w:val="both"/>
        <w:rPr>
          <w:rFonts w:hint="eastAsia" w:ascii="仿宋_GB2312" w:hAnsi="仿宋" w:eastAsia="仿宋_GB2312"/>
          <w:kern w:val="2"/>
          <w:sz w:val="32"/>
          <w:szCs w:val="32"/>
        </w:rPr>
      </w:pPr>
    </w:p>
    <w:p>
      <w:pPr>
        <w:widowControl w:val="0"/>
        <w:spacing w:after="0" w:line="560" w:lineRule="exact"/>
        <w:ind w:firstLine="640" w:firstLineChars="200"/>
        <w:jc w:val="both"/>
        <w:rPr>
          <w:rFonts w:hint="eastAsia" w:ascii="仿宋_GB2312" w:hAnsi="仿宋" w:eastAsia="仿宋_GB2312"/>
          <w:kern w:val="2"/>
          <w:sz w:val="32"/>
          <w:szCs w:val="32"/>
        </w:rPr>
      </w:pPr>
    </w:p>
    <w:p>
      <w:pPr>
        <w:widowControl w:val="0"/>
        <w:spacing w:after="0" w:line="560" w:lineRule="exact"/>
        <w:ind w:firstLine="640" w:firstLineChars="200"/>
        <w:jc w:val="both"/>
        <w:rPr>
          <w:rFonts w:hint="eastAsia" w:ascii="仿宋_GB2312" w:hAnsi="仿宋" w:eastAsia="仿宋_GB2312"/>
          <w:kern w:val="2"/>
          <w:sz w:val="32"/>
          <w:szCs w:val="32"/>
        </w:rPr>
      </w:pPr>
    </w:p>
    <w:p>
      <w:pPr>
        <w:spacing w:after="0" w:line="560" w:lineRule="exact"/>
        <w:ind w:firstLine="5385" w:firstLineChars="1683"/>
        <w:rPr>
          <w:rFonts w:ascii="仿宋_GB2312" w:eastAsia="仿宋_GB2312"/>
          <w:color w:val="auto"/>
          <w:sz w:val="32"/>
          <w:szCs w:val="32"/>
        </w:rPr>
      </w:pPr>
      <w:r>
        <w:rPr>
          <w:rFonts w:hint="eastAsia" w:ascii="仿宋_GB2312" w:eastAsia="仿宋_GB2312"/>
          <w:color w:val="auto"/>
          <w:sz w:val="32"/>
          <w:szCs w:val="32"/>
        </w:rPr>
        <w:t>常德市生态环境局</w:t>
      </w:r>
    </w:p>
    <w:p>
      <w:pPr>
        <w:widowControl w:val="0"/>
        <w:tabs>
          <w:tab w:val="left" w:pos="5647"/>
        </w:tabs>
        <w:spacing w:after="0" w:line="560" w:lineRule="exact"/>
        <w:ind w:firstLine="5440" w:firstLineChars="1700"/>
        <w:rPr>
          <w:rFonts w:hint="eastAsia" w:ascii="仿宋_GB2312" w:eastAsia="仿宋_GB2312"/>
          <w:color w:val="auto"/>
          <w:sz w:val="32"/>
          <w:szCs w:val="32"/>
          <w:lang w:eastAsia="zh-CN"/>
        </w:rPr>
      </w:pPr>
      <w:r>
        <w:rPr>
          <w:rFonts w:hint="eastAsia" w:ascii="仿宋_GB2312" w:eastAsia="仿宋_GB2312"/>
          <w:color w:val="auto"/>
          <w:sz w:val="32"/>
          <w:szCs w:val="32"/>
        </w:rPr>
        <w:t>2025年</w:t>
      </w:r>
      <w:r>
        <w:rPr>
          <w:rFonts w:hint="eastAsia" w:ascii="仿宋_GB2312" w:eastAsia="仿宋_GB2312"/>
          <w:color w:val="auto"/>
          <w:sz w:val="32"/>
          <w:szCs w:val="32"/>
          <w:lang w:val="en-US" w:eastAsia="zh-CN"/>
        </w:rPr>
        <w:t>12</w:t>
      </w:r>
      <w:r>
        <w:rPr>
          <w:rFonts w:hint="eastAsia" w:ascii="仿宋_GB2312" w:eastAsia="仿宋_GB2312"/>
          <w:color w:val="auto"/>
          <w:sz w:val="32"/>
          <w:szCs w:val="32"/>
        </w:rPr>
        <w:t>月</w:t>
      </w:r>
      <w:r>
        <w:rPr>
          <w:rFonts w:hint="eastAsia" w:ascii="仿宋_GB2312" w:eastAsia="仿宋_GB2312"/>
          <w:color w:val="auto"/>
          <w:sz w:val="32"/>
          <w:szCs w:val="32"/>
          <w:lang w:val="en-US" w:eastAsia="zh-CN"/>
        </w:rPr>
        <w:t>31</w:t>
      </w:r>
      <w:r>
        <w:rPr>
          <w:rFonts w:hint="eastAsia" w:ascii="仿宋_GB2312" w:eastAsia="仿宋_GB2312"/>
          <w:color w:val="auto"/>
          <w:sz w:val="32"/>
          <w:szCs w:val="32"/>
        </w:rPr>
        <w:t>日</w:t>
      </w:r>
      <w:r>
        <w:rPr>
          <w:rFonts w:hint="eastAsia" w:ascii="仿宋_GB2312" w:eastAsia="仿宋_GB2312"/>
          <w:color w:val="auto"/>
          <w:sz w:val="32"/>
          <w:szCs w:val="32"/>
          <w:lang w:eastAsia="zh-CN"/>
        </w:rPr>
        <w:tab/>
      </w:r>
    </w:p>
    <w:p>
      <w:pPr>
        <w:widowControl w:val="0"/>
        <w:tabs>
          <w:tab w:val="left" w:pos="5647"/>
        </w:tabs>
        <w:spacing w:after="0" w:line="560" w:lineRule="exact"/>
        <w:ind w:firstLine="5440" w:firstLineChars="1700"/>
        <w:rPr>
          <w:rFonts w:hint="eastAsia" w:ascii="仿宋_GB2312" w:eastAsia="仿宋_GB2312"/>
          <w:color w:val="auto"/>
          <w:sz w:val="32"/>
          <w:szCs w:val="32"/>
          <w:lang w:val="en-US" w:eastAsia="zh-CN"/>
        </w:rPr>
      </w:pPr>
      <w:bookmarkStart w:id="0" w:name="_GoBack"/>
      <w:bookmarkEnd w:id="0"/>
      <w:r>
        <w:rPr>
          <w:rFonts w:hint="eastAsia" w:ascii="仿宋_GB2312" w:eastAsia="仿宋_GB2312"/>
          <w:color w:val="auto"/>
          <w:sz w:val="32"/>
          <w:szCs w:val="32"/>
          <w:lang w:val="en-US" w:eastAsia="zh-CN"/>
        </w:rPr>
        <w:t xml:space="preserve"> </w:t>
      </w:r>
    </w:p>
    <w:p>
      <w:pPr>
        <w:widowControl w:val="0"/>
        <w:tabs>
          <w:tab w:val="left" w:pos="5647"/>
        </w:tabs>
        <w:spacing w:after="0" w:line="560" w:lineRule="exact"/>
        <w:ind w:firstLine="5440" w:firstLineChars="1700"/>
        <w:rPr>
          <w:rFonts w:hint="eastAsia" w:ascii="仿宋_GB2312" w:eastAsia="仿宋_GB2312"/>
          <w:color w:val="auto"/>
          <w:sz w:val="32"/>
          <w:szCs w:val="32"/>
          <w:lang w:val="en-US" w:eastAsia="zh-CN"/>
        </w:rPr>
      </w:pPr>
    </w:p>
    <w:p>
      <w:pPr>
        <w:widowControl w:val="0"/>
        <w:tabs>
          <w:tab w:val="left" w:pos="5647"/>
        </w:tabs>
        <w:spacing w:after="0" w:line="560" w:lineRule="exact"/>
        <w:ind w:firstLine="5440" w:firstLineChars="1700"/>
      </w:pPr>
      <w:r>
        <w:rPr>
          <w:rFonts w:hint="eastAsia" w:ascii="仿宋_GB2312" w:eastAsia="仿宋_GB2312"/>
          <w:color w:val="auto"/>
          <w:sz w:val="32"/>
          <w:szCs w:val="32"/>
          <w:lang w:val="en-US" w:eastAsia="zh-CN"/>
        </w:rPr>
        <w:t xml:space="preserve">   </w:t>
      </w:r>
    </w:p>
    <w:p>
      <w:pPr>
        <w:widowControl w:val="0"/>
        <w:pBdr>
          <w:top w:val="single" w:color="auto" w:sz="4" w:space="1"/>
          <w:bottom w:val="single" w:color="auto" w:sz="4" w:space="1"/>
        </w:pBdr>
        <w:autoSpaceDE w:val="0"/>
        <w:autoSpaceDN w:val="0"/>
        <w:snapToGrid/>
        <w:spacing w:after="0" w:line="520" w:lineRule="exact"/>
        <w:jc w:val="both"/>
        <w:rPr>
          <w:rFonts w:hint="default" w:ascii="仿宋_GB2312" w:hAnsi="仿宋" w:eastAsia="仿宋_GB2312"/>
          <w:color w:val="auto"/>
          <w:spacing w:val="28"/>
          <w:w w:val="90"/>
          <w:sz w:val="28"/>
          <w:szCs w:val="28"/>
          <w:lang w:val="en-US"/>
        </w:rPr>
      </w:pPr>
      <w:r>
        <w:rPr>
          <w:rFonts w:hint="eastAsia" w:ascii="仿宋_GB2312" w:hAnsi="Times New Roman" w:eastAsia="仿宋_GB2312" w:cs="黑体"/>
          <w:color w:val="auto"/>
          <w:spacing w:val="28"/>
          <w:w w:val="90"/>
          <w:sz w:val="28"/>
          <w:szCs w:val="28"/>
        </w:rPr>
        <w:t>抄送：</w:t>
      </w:r>
      <w:r>
        <w:rPr>
          <w:rFonts w:hint="eastAsia" w:ascii="仿宋_GB2312" w:hAnsi="仿宋" w:eastAsia="仿宋_GB2312"/>
          <w:color w:val="auto"/>
          <w:spacing w:val="28"/>
          <w:w w:val="90"/>
          <w:sz w:val="28"/>
          <w:szCs w:val="28"/>
          <w:lang w:val="en-GB"/>
        </w:rPr>
        <w:t>常德市生态环境局</w:t>
      </w:r>
      <w:r>
        <w:rPr>
          <w:rFonts w:hint="eastAsia" w:ascii="仿宋_GB2312" w:hAnsi="仿宋" w:eastAsia="仿宋_GB2312"/>
          <w:color w:val="auto"/>
          <w:spacing w:val="28"/>
          <w:w w:val="90"/>
          <w:sz w:val="28"/>
          <w:szCs w:val="28"/>
          <w:lang w:val="en-GB" w:eastAsia="zh-CN"/>
        </w:rPr>
        <w:t>武陵</w:t>
      </w:r>
      <w:r>
        <w:rPr>
          <w:rFonts w:hint="eastAsia" w:ascii="仿宋_GB2312" w:hAnsi="仿宋" w:eastAsia="仿宋_GB2312"/>
          <w:color w:val="auto"/>
          <w:spacing w:val="28"/>
          <w:w w:val="90"/>
          <w:sz w:val="28"/>
          <w:szCs w:val="28"/>
          <w:lang w:val="en-GB"/>
        </w:rPr>
        <w:t>分局、</w:t>
      </w:r>
      <w:r>
        <w:rPr>
          <w:rFonts w:hint="eastAsia" w:ascii="仿宋_GB2312" w:hAnsi="仿宋" w:eastAsia="仿宋_GB2312"/>
          <w:color w:val="auto"/>
          <w:spacing w:val="28"/>
          <w:w w:val="90"/>
          <w:sz w:val="28"/>
          <w:szCs w:val="28"/>
          <w:lang w:val="en-GB" w:eastAsia="zh-CN"/>
        </w:rPr>
        <w:t>常德市生态环境局鼎城分局、湖南然田环境评估有限公司</w:t>
      </w:r>
    </w:p>
    <w:sectPr>
      <w:headerReference r:id="rId4" w:type="default"/>
      <w:footerReference r:id="rId5" w:type="default"/>
      <w:footerReference r:id="rId6" w:type="even"/>
      <w:pgSz w:w="11906" w:h="16838"/>
      <w:pgMar w:top="2098" w:right="1474" w:bottom="1701" w:left="1588" w:header="709" w:footer="709" w:gutter="0"/>
      <w:pgNumType w:fmt="numberInDash"/>
      <w:cols w:space="708" w:num="1"/>
      <w:titlePg/>
      <w:docGrid w:type="lines"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altName w:val="方正宋体S-超大字符集(SIP)"/>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方正宋体S-超大字符集(SIP)"/>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3030804020204"/>
    <w:charset w:val="00"/>
    <w:family w:val="auto"/>
    <w:pitch w:val="default"/>
    <w:sig w:usb0="E7006EFF" w:usb1="D200FDFF" w:usb2="0A246029" w:usb3="0400200C" w:csb0="600001FF" w:csb1="DFFF0000"/>
  </w:font>
  <w:font w:name="Tahoma">
    <w:altName w:val="DejaVu Sans"/>
    <w:panose1 w:val="020B0604030504040204"/>
    <w:charset w:val="00"/>
    <w:family w:val="swiss"/>
    <w:pitch w:val="default"/>
    <w:sig w:usb0="00000000" w:usb1="00000000" w:usb2="00000029" w:usb3="00000000" w:csb0="200101FF" w:csb1="20280000"/>
  </w:font>
  <w:font w:name="微软雅黑">
    <w:altName w:val="黑体"/>
    <w:panose1 w:val="020B0503020204020204"/>
    <w:charset w:val="86"/>
    <w:family w:val="swiss"/>
    <w:pitch w:val="default"/>
    <w:sig w:usb0="00000000" w:usb1="00000000" w:usb2="00000016" w:usb3="00000000" w:csb0="0004001F" w:csb1="00000000"/>
  </w:font>
  <w:font w:name="Arial Unicode MS">
    <w:altName w:val="Times New Roman"/>
    <w:panose1 w:val="020B0604020202020204"/>
    <w:charset w:val="86"/>
    <w:family w:val="roman"/>
    <w:pitch w:val="default"/>
    <w:sig w:usb0="00000000" w:usb1="00000000" w:usb2="0000003F" w:usb3="00000000" w:csb0="603F01FF" w:csb1="FFFF0000"/>
  </w:font>
  <w:font w:name="Cambria">
    <w:altName w:val="FreeSerif"/>
    <w:panose1 w:val="02040503050406030204"/>
    <w:charset w:val="00"/>
    <w:family w:val="roman"/>
    <w:pitch w:val="default"/>
    <w:sig w:usb0="00000000" w:usb1="00000000" w:usb2="02000000" w:usb3="00000000" w:csb0="2000019F" w:csb1="00000000"/>
  </w:font>
  <w:font w:name="FreeSerif">
    <w:panose1 w:val="02020603050405020304"/>
    <w:charset w:val="00"/>
    <w:family w:val="auto"/>
    <w:pitch w:val="default"/>
    <w:sig w:usb0="E59FAFFF" w:usb1="C200FDFF" w:usb2="43501B29" w:usb3="04000043" w:csb0="600101FF" w:csb1="FFFF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小标宋简体">
    <w:panose1 w:val="02000000000000000000"/>
    <w:charset w:val="86"/>
    <w:family w:val="script"/>
    <w:pitch w:val="default"/>
    <w:sig w:usb0="A00002BF" w:usb1="184F6CFA" w:usb2="00000012" w:usb3="00000000" w:csb0="00040001" w:csb1="00000000"/>
  </w:font>
  <w:font w:name="方正仿宋_GBK">
    <w:panose1 w:val="02000000000000000000"/>
    <w:charset w:val="86"/>
    <w:family w:val="auto"/>
    <w:pitch w:val="default"/>
    <w:sig w:usb0="00000001" w:usb1="08000000" w:usb2="00000000" w:usb3="00000000" w:csb0="00040000" w:csb1="00000000"/>
  </w:font>
  <w:font w:name="Liberation Serif">
    <w:panose1 w:val="02020603050405020304"/>
    <w:charset w:val="00"/>
    <w:family w:val="auto"/>
    <w:pitch w:val="default"/>
    <w:sig w:usb0="A00002AF" w:usb1="500078FB" w:usb2="00000000" w:usb3="00000000" w:csb0="6000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
    </w:sdtPr>
    <w:sdtEndPr>
      <w:rPr>
        <w:rFonts w:ascii="宋体" w:hAnsi="宋体" w:eastAsia="宋体"/>
        <w:sz w:val="24"/>
        <w:szCs w:val="24"/>
      </w:rPr>
    </w:sdtEndPr>
    <w:sdtContent>
      <w:p>
        <w:pPr>
          <w:pStyle w:val="10"/>
          <w:jc w:val="right"/>
          <w:rPr>
            <w:rFonts w:hint="eastAsia" w:ascii="宋体" w:hAnsi="宋体" w:eastAsia="宋体"/>
            <w:sz w:val="24"/>
            <w:szCs w:val="24"/>
          </w:rPr>
        </w:pPr>
        <w:r>
          <w:rPr>
            <w:rFonts w:ascii="宋体" w:hAnsi="宋体" w:eastAsia="宋体"/>
            <w:sz w:val="24"/>
            <w:szCs w:val="24"/>
          </w:rPr>
          <w:fldChar w:fldCharType="begin"/>
        </w:r>
        <w:r>
          <w:rPr>
            <w:rFonts w:ascii="宋体" w:hAnsi="宋体" w:eastAsia="宋体"/>
            <w:sz w:val="24"/>
            <w:szCs w:val="24"/>
          </w:rPr>
          <w:instrText xml:space="preserve"> PAGE   \* MERGEFORMAT </w:instrText>
        </w:r>
        <w:r>
          <w:rPr>
            <w:rFonts w:ascii="宋体" w:hAnsi="宋体" w:eastAsia="宋体"/>
            <w:sz w:val="24"/>
            <w:szCs w:val="24"/>
          </w:rPr>
          <w:fldChar w:fldCharType="separate"/>
        </w:r>
        <w:r>
          <w:rPr>
            <w:rFonts w:ascii="宋体" w:hAnsi="宋体" w:eastAsia="宋体"/>
            <w:sz w:val="24"/>
            <w:szCs w:val="24"/>
            <w:lang w:val="zh-CN"/>
          </w:rPr>
          <w:t>-</w:t>
        </w:r>
        <w:r>
          <w:rPr>
            <w:rFonts w:ascii="宋体" w:hAnsi="宋体" w:eastAsia="宋体"/>
            <w:sz w:val="24"/>
            <w:szCs w:val="24"/>
          </w:rPr>
          <w:t xml:space="preserve"> 5 -</w:t>
        </w:r>
        <w:r>
          <w:rPr>
            <w:rFonts w:ascii="宋体" w:hAnsi="宋体" w:eastAsia="宋体"/>
            <w:sz w:val="24"/>
            <w:szCs w:val="24"/>
            <w:lang w:val="zh-CN"/>
          </w:rPr>
          <w:fldChar w:fldCharType="end"/>
        </w:r>
      </w:p>
    </w:sdtContent>
  </w:sdt>
  <w:p>
    <w:pPr>
      <w:pStyle w:val="1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
    </w:sdtPr>
    <w:sdtEndPr>
      <w:rPr>
        <w:rFonts w:ascii="宋体" w:hAnsi="宋体" w:eastAsia="宋体"/>
        <w:sz w:val="24"/>
        <w:szCs w:val="24"/>
      </w:rPr>
    </w:sdtEndPr>
    <w:sdtContent>
      <w:p>
        <w:pPr>
          <w:pStyle w:val="10"/>
          <w:rPr>
            <w:rFonts w:hint="eastAsia" w:ascii="宋体" w:hAnsi="宋体" w:eastAsia="宋体"/>
            <w:sz w:val="24"/>
            <w:szCs w:val="24"/>
          </w:rPr>
        </w:pPr>
        <w:r>
          <w:rPr>
            <w:rFonts w:ascii="宋体" w:hAnsi="宋体" w:eastAsia="宋体"/>
            <w:sz w:val="24"/>
            <w:szCs w:val="24"/>
          </w:rPr>
          <w:fldChar w:fldCharType="begin"/>
        </w:r>
        <w:r>
          <w:rPr>
            <w:rFonts w:ascii="宋体" w:hAnsi="宋体" w:eastAsia="宋体"/>
            <w:sz w:val="24"/>
            <w:szCs w:val="24"/>
          </w:rPr>
          <w:instrText xml:space="preserve">PAGE   \* MERGEFORMAT</w:instrText>
        </w:r>
        <w:r>
          <w:rPr>
            <w:rFonts w:ascii="宋体" w:hAnsi="宋体" w:eastAsia="宋体"/>
            <w:sz w:val="24"/>
            <w:szCs w:val="24"/>
          </w:rPr>
          <w:fldChar w:fldCharType="separate"/>
        </w:r>
        <w:r>
          <w:rPr>
            <w:rFonts w:ascii="宋体" w:hAnsi="宋体" w:eastAsia="宋体"/>
            <w:sz w:val="24"/>
            <w:szCs w:val="24"/>
            <w:lang w:val="zh-CN"/>
          </w:rPr>
          <w:t>-</w:t>
        </w:r>
        <w:r>
          <w:rPr>
            <w:rFonts w:ascii="宋体" w:hAnsi="宋体" w:eastAsia="宋体"/>
            <w:sz w:val="24"/>
            <w:szCs w:val="24"/>
          </w:rPr>
          <w:t xml:space="preserve"> 2 -</w:t>
        </w:r>
        <w:r>
          <w:rPr>
            <w:rFonts w:ascii="宋体" w:hAnsi="宋体" w:eastAsia="宋体"/>
            <w:sz w:val="24"/>
            <w:szCs w:val="24"/>
          </w:rPr>
          <w:fldChar w:fldCharType="end"/>
        </w:r>
      </w:p>
    </w:sdtContent>
  </w:sdt>
  <w:p>
    <w:pPr>
      <w:pStyle w:val="10"/>
      <w:tabs>
        <w:tab w:val="left" w:pos="3583"/>
        <w:tab w:val="clear" w:pos="4153"/>
        <w:tab w:val="clear" w:pos="8306"/>
      </w:tabs>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embedSystemFonts/>
  <w:saveSubsetFonts/>
  <w:bordersDoNotSurroundHeader w:val="1"/>
  <w:bordersDoNotSurroundFooter w:val="1"/>
  <w:documentProtection w:enforcement="0"/>
  <w:defaultTabStop w:val="720"/>
  <w:evenAndOddHeaders w:val="1"/>
  <w:characterSpacingControl w:val="doNotCompress"/>
  <w:noLineBreaksAfter w:lang="zh-CN" w:val="$([{£¥·‘“〈《「『【〔〖〝﹙﹛﹝＄（．［｛￡￥"/>
  <w:noLineBreaksBefore w:lang="zh-CN" w:val="!%),.:;&gt;?]}¢¨°·ˇˉ―‖’”…‰′″›℃∶、。〃〉》」』】〕〗〞︶︺︾﹀﹄﹚﹜﹞！＂％＇），．：；？］｀｜｝～￠"/>
  <w:footnotePr>
    <w:footnote w:id="0"/>
    <w:footnote w:id="1"/>
  </w:foot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TgwZDQ2ZDRjNTQyYzUxN2ZjYWQzZmQ1ZGZiMjhmOGQifQ=="/>
  </w:docVars>
  <w:rsids>
    <w:rsidRoot w:val="00D31D50"/>
    <w:rsid w:val="0000280A"/>
    <w:rsid w:val="00005413"/>
    <w:rsid w:val="00012362"/>
    <w:rsid w:val="0001427E"/>
    <w:rsid w:val="00022A11"/>
    <w:rsid w:val="000249F7"/>
    <w:rsid w:val="00024D52"/>
    <w:rsid w:val="000254A9"/>
    <w:rsid w:val="00027523"/>
    <w:rsid w:val="00027E6E"/>
    <w:rsid w:val="00031547"/>
    <w:rsid w:val="000324D7"/>
    <w:rsid w:val="00051B3B"/>
    <w:rsid w:val="00052BFB"/>
    <w:rsid w:val="0005327B"/>
    <w:rsid w:val="00055C50"/>
    <w:rsid w:val="000571D9"/>
    <w:rsid w:val="00073B94"/>
    <w:rsid w:val="00076703"/>
    <w:rsid w:val="0008272A"/>
    <w:rsid w:val="0008275C"/>
    <w:rsid w:val="000843F3"/>
    <w:rsid w:val="000A0196"/>
    <w:rsid w:val="000A2978"/>
    <w:rsid w:val="000A6602"/>
    <w:rsid w:val="000B2325"/>
    <w:rsid w:val="000B2A56"/>
    <w:rsid w:val="000B394E"/>
    <w:rsid w:val="000B3983"/>
    <w:rsid w:val="000B7D30"/>
    <w:rsid w:val="000C336A"/>
    <w:rsid w:val="000C430B"/>
    <w:rsid w:val="000C631C"/>
    <w:rsid w:val="000C6DD6"/>
    <w:rsid w:val="000D2384"/>
    <w:rsid w:val="000D48FD"/>
    <w:rsid w:val="000D75DF"/>
    <w:rsid w:val="000E58D6"/>
    <w:rsid w:val="000F33D8"/>
    <w:rsid w:val="000F4213"/>
    <w:rsid w:val="000F685C"/>
    <w:rsid w:val="000F718A"/>
    <w:rsid w:val="00100635"/>
    <w:rsid w:val="00100762"/>
    <w:rsid w:val="00101501"/>
    <w:rsid w:val="001035EB"/>
    <w:rsid w:val="00104A5A"/>
    <w:rsid w:val="00105AB6"/>
    <w:rsid w:val="00110277"/>
    <w:rsid w:val="001140FB"/>
    <w:rsid w:val="0011707B"/>
    <w:rsid w:val="00122553"/>
    <w:rsid w:val="001260DA"/>
    <w:rsid w:val="001304F9"/>
    <w:rsid w:val="00130E63"/>
    <w:rsid w:val="00133AC9"/>
    <w:rsid w:val="00142E89"/>
    <w:rsid w:val="00143619"/>
    <w:rsid w:val="001439ED"/>
    <w:rsid w:val="00151D7D"/>
    <w:rsid w:val="001525EC"/>
    <w:rsid w:val="00153701"/>
    <w:rsid w:val="0015379D"/>
    <w:rsid w:val="001539DB"/>
    <w:rsid w:val="001610A4"/>
    <w:rsid w:val="00162636"/>
    <w:rsid w:val="00162E95"/>
    <w:rsid w:val="00163C3A"/>
    <w:rsid w:val="001726CC"/>
    <w:rsid w:val="00173216"/>
    <w:rsid w:val="001737F0"/>
    <w:rsid w:val="001751C4"/>
    <w:rsid w:val="00177C02"/>
    <w:rsid w:val="00180543"/>
    <w:rsid w:val="001819D2"/>
    <w:rsid w:val="0018239D"/>
    <w:rsid w:val="00182E47"/>
    <w:rsid w:val="00182F81"/>
    <w:rsid w:val="0018618B"/>
    <w:rsid w:val="00186BC9"/>
    <w:rsid w:val="00187C0A"/>
    <w:rsid w:val="00190C48"/>
    <w:rsid w:val="001944D4"/>
    <w:rsid w:val="001A24D2"/>
    <w:rsid w:val="001A2683"/>
    <w:rsid w:val="001A3405"/>
    <w:rsid w:val="001A56EB"/>
    <w:rsid w:val="001A58B1"/>
    <w:rsid w:val="001A6E2B"/>
    <w:rsid w:val="001B2565"/>
    <w:rsid w:val="001B5220"/>
    <w:rsid w:val="001C19D7"/>
    <w:rsid w:val="001C4911"/>
    <w:rsid w:val="001D187F"/>
    <w:rsid w:val="001D1A0D"/>
    <w:rsid w:val="001D1FA4"/>
    <w:rsid w:val="001D410B"/>
    <w:rsid w:val="001D52B6"/>
    <w:rsid w:val="001F0BC1"/>
    <w:rsid w:val="001F1C9F"/>
    <w:rsid w:val="001F3998"/>
    <w:rsid w:val="001F4042"/>
    <w:rsid w:val="001F5E9A"/>
    <w:rsid w:val="001F7044"/>
    <w:rsid w:val="00200BA1"/>
    <w:rsid w:val="002026FD"/>
    <w:rsid w:val="00203027"/>
    <w:rsid w:val="0020529E"/>
    <w:rsid w:val="00205699"/>
    <w:rsid w:val="0020595D"/>
    <w:rsid w:val="00205AF0"/>
    <w:rsid w:val="00205C21"/>
    <w:rsid w:val="00206E20"/>
    <w:rsid w:val="0020749E"/>
    <w:rsid w:val="00210090"/>
    <w:rsid w:val="002117F5"/>
    <w:rsid w:val="00212028"/>
    <w:rsid w:val="0021343E"/>
    <w:rsid w:val="002141F4"/>
    <w:rsid w:val="00214F33"/>
    <w:rsid w:val="0023404C"/>
    <w:rsid w:val="00234ACF"/>
    <w:rsid w:val="0024513E"/>
    <w:rsid w:val="00246BCA"/>
    <w:rsid w:val="00247739"/>
    <w:rsid w:val="0025367B"/>
    <w:rsid w:val="002539C1"/>
    <w:rsid w:val="00253A87"/>
    <w:rsid w:val="00263EB2"/>
    <w:rsid w:val="002652BB"/>
    <w:rsid w:val="00271B6C"/>
    <w:rsid w:val="00272957"/>
    <w:rsid w:val="0027504E"/>
    <w:rsid w:val="00282F43"/>
    <w:rsid w:val="002869A0"/>
    <w:rsid w:val="0029493A"/>
    <w:rsid w:val="00295320"/>
    <w:rsid w:val="00295C1F"/>
    <w:rsid w:val="00295CF8"/>
    <w:rsid w:val="002A1CA9"/>
    <w:rsid w:val="002A3988"/>
    <w:rsid w:val="002B5163"/>
    <w:rsid w:val="002B5740"/>
    <w:rsid w:val="002C5AC4"/>
    <w:rsid w:val="002C613C"/>
    <w:rsid w:val="002D2D60"/>
    <w:rsid w:val="002D341E"/>
    <w:rsid w:val="002D5D7E"/>
    <w:rsid w:val="002E1CE2"/>
    <w:rsid w:val="002E6C4B"/>
    <w:rsid w:val="002F20CF"/>
    <w:rsid w:val="002F230E"/>
    <w:rsid w:val="002F234F"/>
    <w:rsid w:val="002F468C"/>
    <w:rsid w:val="003072CB"/>
    <w:rsid w:val="00310EBE"/>
    <w:rsid w:val="00312153"/>
    <w:rsid w:val="0032202C"/>
    <w:rsid w:val="00322A99"/>
    <w:rsid w:val="00322D81"/>
    <w:rsid w:val="00323B43"/>
    <w:rsid w:val="00324F1C"/>
    <w:rsid w:val="00325DA9"/>
    <w:rsid w:val="003271FD"/>
    <w:rsid w:val="00327C34"/>
    <w:rsid w:val="0033065C"/>
    <w:rsid w:val="00331D0A"/>
    <w:rsid w:val="00336368"/>
    <w:rsid w:val="00341FEC"/>
    <w:rsid w:val="0034256F"/>
    <w:rsid w:val="00344077"/>
    <w:rsid w:val="00344088"/>
    <w:rsid w:val="00344EE4"/>
    <w:rsid w:val="00345664"/>
    <w:rsid w:val="00347B05"/>
    <w:rsid w:val="0035069F"/>
    <w:rsid w:val="00351009"/>
    <w:rsid w:val="003519E1"/>
    <w:rsid w:val="00354059"/>
    <w:rsid w:val="00355AD9"/>
    <w:rsid w:val="00356F68"/>
    <w:rsid w:val="00362D5C"/>
    <w:rsid w:val="00363B46"/>
    <w:rsid w:val="00366CF8"/>
    <w:rsid w:val="00372E0F"/>
    <w:rsid w:val="00373DFE"/>
    <w:rsid w:val="00374BA7"/>
    <w:rsid w:val="00377A8F"/>
    <w:rsid w:val="0038065A"/>
    <w:rsid w:val="003807AF"/>
    <w:rsid w:val="00383C37"/>
    <w:rsid w:val="00386674"/>
    <w:rsid w:val="003869F6"/>
    <w:rsid w:val="00392EF8"/>
    <w:rsid w:val="00394CAD"/>
    <w:rsid w:val="00395B58"/>
    <w:rsid w:val="0039781C"/>
    <w:rsid w:val="003A0B12"/>
    <w:rsid w:val="003A65D5"/>
    <w:rsid w:val="003B00BE"/>
    <w:rsid w:val="003B42A0"/>
    <w:rsid w:val="003B55E7"/>
    <w:rsid w:val="003B5AED"/>
    <w:rsid w:val="003B7935"/>
    <w:rsid w:val="003C136C"/>
    <w:rsid w:val="003C5250"/>
    <w:rsid w:val="003C790B"/>
    <w:rsid w:val="003C79D5"/>
    <w:rsid w:val="003D2635"/>
    <w:rsid w:val="003D37D8"/>
    <w:rsid w:val="003D49DE"/>
    <w:rsid w:val="003D4CE9"/>
    <w:rsid w:val="003E0DB3"/>
    <w:rsid w:val="003E1528"/>
    <w:rsid w:val="003E4089"/>
    <w:rsid w:val="003E5E59"/>
    <w:rsid w:val="003F2A20"/>
    <w:rsid w:val="003F3640"/>
    <w:rsid w:val="003F4D30"/>
    <w:rsid w:val="00402DBD"/>
    <w:rsid w:val="00406F5B"/>
    <w:rsid w:val="0041073B"/>
    <w:rsid w:val="00411BC5"/>
    <w:rsid w:val="004167B9"/>
    <w:rsid w:val="00416868"/>
    <w:rsid w:val="00424512"/>
    <w:rsid w:val="00425410"/>
    <w:rsid w:val="00426133"/>
    <w:rsid w:val="0042797C"/>
    <w:rsid w:val="004358AB"/>
    <w:rsid w:val="0044628F"/>
    <w:rsid w:val="0044665A"/>
    <w:rsid w:val="004479DB"/>
    <w:rsid w:val="004500AA"/>
    <w:rsid w:val="00450988"/>
    <w:rsid w:val="004523FE"/>
    <w:rsid w:val="00453944"/>
    <w:rsid w:val="00453F6D"/>
    <w:rsid w:val="00454AA7"/>
    <w:rsid w:val="004570F4"/>
    <w:rsid w:val="00462572"/>
    <w:rsid w:val="004633F0"/>
    <w:rsid w:val="00463F7C"/>
    <w:rsid w:val="00470D65"/>
    <w:rsid w:val="00474595"/>
    <w:rsid w:val="00474B0E"/>
    <w:rsid w:val="00475603"/>
    <w:rsid w:val="00481A45"/>
    <w:rsid w:val="00483FE2"/>
    <w:rsid w:val="0048416A"/>
    <w:rsid w:val="0048447C"/>
    <w:rsid w:val="00485458"/>
    <w:rsid w:val="0048736E"/>
    <w:rsid w:val="0049159A"/>
    <w:rsid w:val="004A235A"/>
    <w:rsid w:val="004A6F9F"/>
    <w:rsid w:val="004B00BB"/>
    <w:rsid w:val="004B3F43"/>
    <w:rsid w:val="004B49B4"/>
    <w:rsid w:val="004B5D4E"/>
    <w:rsid w:val="004B5E6B"/>
    <w:rsid w:val="004B6FF4"/>
    <w:rsid w:val="004B76FF"/>
    <w:rsid w:val="004C3A20"/>
    <w:rsid w:val="004C69C6"/>
    <w:rsid w:val="004D3F39"/>
    <w:rsid w:val="004E249A"/>
    <w:rsid w:val="004E523F"/>
    <w:rsid w:val="004E5B86"/>
    <w:rsid w:val="004F2D87"/>
    <w:rsid w:val="004F3C4D"/>
    <w:rsid w:val="004F4F4B"/>
    <w:rsid w:val="004F5234"/>
    <w:rsid w:val="004F6D0A"/>
    <w:rsid w:val="004F71D0"/>
    <w:rsid w:val="0050043C"/>
    <w:rsid w:val="005012E2"/>
    <w:rsid w:val="00501CB5"/>
    <w:rsid w:val="005145B2"/>
    <w:rsid w:val="005153D8"/>
    <w:rsid w:val="00516D1E"/>
    <w:rsid w:val="005220EB"/>
    <w:rsid w:val="0052444F"/>
    <w:rsid w:val="00526579"/>
    <w:rsid w:val="00530C32"/>
    <w:rsid w:val="0053125B"/>
    <w:rsid w:val="00531736"/>
    <w:rsid w:val="00531EF4"/>
    <w:rsid w:val="005423D4"/>
    <w:rsid w:val="00547B28"/>
    <w:rsid w:val="00550284"/>
    <w:rsid w:val="0055058A"/>
    <w:rsid w:val="005519EE"/>
    <w:rsid w:val="00551C81"/>
    <w:rsid w:val="00552584"/>
    <w:rsid w:val="00553D6B"/>
    <w:rsid w:val="0055729E"/>
    <w:rsid w:val="00563094"/>
    <w:rsid w:val="0056403B"/>
    <w:rsid w:val="005735CB"/>
    <w:rsid w:val="00575381"/>
    <w:rsid w:val="005766AC"/>
    <w:rsid w:val="005809FC"/>
    <w:rsid w:val="005842E6"/>
    <w:rsid w:val="00584499"/>
    <w:rsid w:val="00587048"/>
    <w:rsid w:val="00587886"/>
    <w:rsid w:val="00591289"/>
    <w:rsid w:val="005A1E01"/>
    <w:rsid w:val="005A259B"/>
    <w:rsid w:val="005A75E9"/>
    <w:rsid w:val="005B2E31"/>
    <w:rsid w:val="005B78D6"/>
    <w:rsid w:val="005C5AA1"/>
    <w:rsid w:val="005D0F2C"/>
    <w:rsid w:val="005D2F9C"/>
    <w:rsid w:val="005D35DE"/>
    <w:rsid w:val="005D5059"/>
    <w:rsid w:val="005D6E7A"/>
    <w:rsid w:val="005E1CFB"/>
    <w:rsid w:val="005E569D"/>
    <w:rsid w:val="005F51E0"/>
    <w:rsid w:val="005F66D1"/>
    <w:rsid w:val="0060029F"/>
    <w:rsid w:val="00610443"/>
    <w:rsid w:val="00612746"/>
    <w:rsid w:val="006159AE"/>
    <w:rsid w:val="00616E3C"/>
    <w:rsid w:val="00621C39"/>
    <w:rsid w:val="00622B52"/>
    <w:rsid w:val="00623219"/>
    <w:rsid w:val="00624147"/>
    <w:rsid w:val="00624D43"/>
    <w:rsid w:val="0062532D"/>
    <w:rsid w:val="0062599D"/>
    <w:rsid w:val="006328D4"/>
    <w:rsid w:val="00633819"/>
    <w:rsid w:val="006373CA"/>
    <w:rsid w:val="00640C65"/>
    <w:rsid w:val="00642C25"/>
    <w:rsid w:val="00642D95"/>
    <w:rsid w:val="00663EC7"/>
    <w:rsid w:val="006711AE"/>
    <w:rsid w:val="00672B2B"/>
    <w:rsid w:val="006746D8"/>
    <w:rsid w:val="00675448"/>
    <w:rsid w:val="00675C01"/>
    <w:rsid w:val="00676CB1"/>
    <w:rsid w:val="00686446"/>
    <w:rsid w:val="00687E6C"/>
    <w:rsid w:val="00694F89"/>
    <w:rsid w:val="00696215"/>
    <w:rsid w:val="0069680E"/>
    <w:rsid w:val="0069688C"/>
    <w:rsid w:val="0069723A"/>
    <w:rsid w:val="006A0A4C"/>
    <w:rsid w:val="006A10A2"/>
    <w:rsid w:val="006A548A"/>
    <w:rsid w:val="006B274E"/>
    <w:rsid w:val="006B360C"/>
    <w:rsid w:val="006B68D3"/>
    <w:rsid w:val="006C07F6"/>
    <w:rsid w:val="006C18EE"/>
    <w:rsid w:val="006C1F86"/>
    <w:rsid w:val="006C334F"/>
    <w:rsid w:val="006C4871"/>
    <w:rsid w:val="006D0EEF"/>
    <w:rsid w:val="006D0FC0"/>
    <w:rsid w:val="006D123A"/>
    <w:rsid w:val="006D26A5"/>
    <w:rsid w:val="006D2BE2"/>
    <w:rsid w:val="006D4391"/>
    <w:rsid w:val="006D4783"/>
    <w:rsid w:val="006D4AAB"/>
    <w:rsid w:val="006D5D7A"/>
    <w:rsid w:val="006D5E09"/>
    <w:rsid w:val="006D6D9E"/>
    <w:rsid w:val="006D710A"/>
    <w:rsid w:val="006E06EE"/>
    <w:rsid w:val="006E2B24"/>
    <w:rsid w:val="006E2E1D"/>
    <w:rsid w:val="006E4DDC"/>
    <w:rsid w:val="006F41AA"/>
    <w:rsid w:val="006F5C7E"/>
    <w:rsid w:val="006F5D63"/>
    <w:rsid w:val="006F6228"/>
    <w:rsid w:val="00700F51"/>
    <w:rsid w:val="00700F5D"/>
    <w:rsid w:val="00703F64"/>
    <w:rsid w:val="0070712E"/>
    <w:rsid w:val="0071078E"/>
    <w:rsid w:val="00710950"/>
    <w:rsid w:val="0071445B"/>
    <w:rsid w:val="00714D9E"/>
    <w:rsid w:val="00715E23"/>
    <w:rsid w:val="007163FA"/>
    <w:rsid w:val="007169E6"/>
    <w:rsid w:val="00720EFF"/>
    <w:rsid w:val="00723C16"/>
    <w:rsid w:val="00727E1B"/>
    <w:rsid w:val="00727EDF"/>
    <w:rsid w:val="007334BA"/>
    <w:rsid w:val="00736C26"/>
    <w:rsid w:val="0073779A"/>
    <w:rsid w:val="00742358"/>
    <w:rsid w:val="0074515F"/>
    <w:rsid w:val="0074780D"/>
    <w:rsid w:val="00754BD6"/>
    <w:rsid w:val="0076247C"/>
    <w:rsid w:val="0076286C"/>
    <w:rsid w:val="00762C52"/>
    <w:rsid w:val="0076439B"/>
    <w:rsid w:val="00765182"/>
    <w:rsid w:val="00766659"/>
    <w:rsid w:val="00766676"/>
    <w:rsid w:val="007706C2"/>
    <w:rsid w:val="007708BC"/>
    <w:rsid w:val="00771E2D"/>
    <w:rsid w:val="00773AB5"/>
    <w:rsid w:val="0077469B"/>
    <w:rsid w:val="00775A95"/>
    <w:rsid w:val="00775D0C"/>
    <w:rsid w:val="00776AAE"/>
    <w:rsid w:val="0078530B"/>
    <w:rsid w:val="007900CE"/>
    <w:rsid w:val="00791B97"/>
    <w:rsid w:val="00797DBC"/>
    <w:rsid w:val="007A076E"/>
    <w:rsid w:val="007A1084"/>
    <w:rsid w:val="007A453D"/>
    <w:rsid w:val="007A4DF8"/>
    <w:rsid w:val="007A5545"/>
    <w:rsid w:val="007C5210"/>
    <w:rsid w:val="007C543E"/>
    <w:rsid w:val="007C56D2"/>
    <w:rsid w:val="007C5717"/>
    <w:rsid w:val="007D1EF4"/>
    <w:rsid w:val="007D4830"/>
    <w:rsid w:val="007D5C2B"/>
    <w:rsid w:val="007E0F74"/>
    <w:rsid w:val="007E13FC"/>
    <w:rsid w:val="007E144D"/>
    <w:rsid w:val="007E1A83"/>
    <w:rsid w:val="007E3983"/>
    <w:rsid w:val="007E3B53"/>
    <w:rsid w:val="007F09CD"/>
    <w:rsid w:val="007F1DEA"/>
    <w:rsid w:val="007F453D"/>
    <w:rsid w:val="007F5F9E"/>
    <w:rsid w:val="007F68CC"/>
    <w:rsid w:val="00803FBC"/>
    <w:rsid w:val="00804C79"/>
    <w:rsid w:val="008055EA"/>
    <w:rsid w:val="00806F45"/>
    <w:rsid w:val="00807880"/>
    <w:rsid w:val="00810AF1"/>
    <w:rsid w:val="00816B11"/>
    <w:rsid w:val="00817441"/>
    <w:rsid w:val="00823572"/>
    <w:rsid w:val="00823878"/>
    <w:rsid w:val="00833757"/>
    <w:rsid w:val="0083572A"/>
    <w:rsid w:val="008360C8"/>
    <w:rsid w:val="008447F0"/>
    <w:rsid w:val="008453EA"/>
    <w:rsid w:val="00847C4B"/>
    <w:rsid w:val="00850696"/>
    <w:rsid w:val="00862161"/>
    <w:rsid w:val="00866255"/>
    <w:rsid w:val="00867A46"/>
    <w:rsid w:val="00870ABA"/>
    <w:rsid w:val="008714E2"/>
    <w:rsid w:val="00871548"/>
    <w:rsid w:val="008728C3"/>
    <w:rsid w:val="008826D9"/>
    <w:rsid w:val="00886659"/>
    <w:rsid w:val="00886C6A"/>
    <w:rsid w:val="00887C6F"/>
    <w:rsid w:val="00891D7E"/>
    <w:rsid w:val="00894858"/>
    <w:rsid w:val="00894A19"/>
    <w:rsid w:val="00894E98"/>
    <w:rsid w:val="00897D1D"/>
    <w:rsid w:val="008A0E0F"/>
    <w:rsid w:val="008B1BF6"/>
    <w:rsid w:val="008B7726"/>
    <w:rsid w:val="008C2229"/>
    <w:rsid w:val="008C3479"/>
    <w:rsid w:val="008D0A7D"/>
    <w:rsid w:val="008D4F16"/>
    <w:rsid w:val="008E0A1D"/>
    <w:rsid w:val="008E5759"/>
    <w:rsid w:val="008E6A23"/>
    <w:rsid w:val="008E7144"/>
    <w:rsid w:val="008F28C6"/>
    <w:rsid w:val="008F3689"/>
    <w:rsid w:val="008F7C44"/>
    <w:rsid w:val="009008B1"/>
    <w:rsid w:val="00901527"/>
    <w:rsid w:val="00902301"/>
    <w:rsid w:val="00902AA0"/>
    <w:rsid w:val="009033EA"/>
    <w:rsid w:val="009034CA"/>
    <w:rsid w:val="00906BA6"/>
    <w:rsid w:val="00910B64"/>
    <w:rsid w:val="00912BAC"/>
    <w:rsid w:val="009138CC"/>
    <w:rsid w:val="009151AA"/>
    <w:rsid w:val="00920004"/>
    <w:rsid w:val="00920A78"/>
    <w:rsid w:val="009237F7"/>
    <w:rsid w:val="00923E1A"/>
    <w:rsid w:val="00924027"/>
    <w:rsid w:val="00931822"/>
    <w:rsid w:val="00931CA3"/>
    <w:rsid w:val="00934737"/>
    <w:rsid w:val="00942DE2"/>
    <w:rsid w:val="00946EAE"/>
    <w:rsid w:val="009536E7"/>
    <w:rsid w:val="0095630D"/>
    <w:rsid w:val="00956EF9"/>
    <w:rsid w:val="00961BED"/>
    <w:rsid w:val="009653E3"/>
    <w:rsid w:val="009704D4"/>
    <w:rsid w:val="00971F12"/>
    <w:rsid w:val="009748E3"/>
    <w:rsid w:val="00975ED8"/>
    <w:rsid w:val="0097710A"/>
    <w:rsid w:val="0098162D"/>
    <w:rsid w:val="00991F6D"/>
    <w:rsid w:val="009930A6"/>
    <w:rsid w:val="009A182D"/>
    <w:rsid w:val="009A1C84"/>
    <w:rsid w:val="009A4413"/>
    <w:rsid w:val="009A6B09"/>
    <w:rsid w:val="009B0B62"/>
    <w:rsid w:val="009B61A0"/>
    <w:rsid w:val="009B6AFC"/>
    <w:rsid w:val="009C0494"/>
    <w:rsid w:val="009C7457"/>
    <w:rsid w:val="009D53F4"/>
    <w:rsid w:val="009E3569"/>
    <w:rsid w:val="009E4D99"/>
    <w:rsid w:val="009E501C"/>
    <w:rsid w:val="009E6230"/>
    <w:rsid w:val="009E7358"/>
    <w:rsid w:val="009F1DB9"/>
    <w:rsid w:val="009F2181"/>
    <w:rsid w:val="009F3BC2"/>
    <w:rsid w:val="00A00F13"/>
    <w:rsid w:val="00A0585B"/>
    <w:rsid w:val="00A07866"/>
    <w:rsid w:val="00A12815"/>
    <w:rsid w:val="00A160DC"/>
    <w:rsid w:val="00A21EB3"/>
    <w:rsid w:val="00A2613B"/>
    <w:rsid w:val="00A262DD"/>
    <w:rsid w:val="00A3387B"/>
    <w:rsid w:val="00A352AE"/>
    <w:rsid w:val="00A37820"/>
    <w:rsid w:val="00A406C2"/>
    <w:rsid w:val="00A4363D"/>
    <w:rsid w:val="00A463AC"/>
    <w:rsid w:val="00A46BAC"/>
    <w:rsid w:val="00A475AC"/>
    <w:rsid w:val="00A516AD"/>
    <w:rsid w:val="00A565CA"/>
    <w:rsid w:val="00A61D68"/>
    <w:rsid w:val="00A62658"/>
    <w:rsid w:val="00A62E1C"/>
    <w:rsid w:val="00A6337E"/>
    <w:rsid w:val="00A645F0"/>
    <w:rsid w:val="00A66D25"/>
    <w:rsid w:val="00A72C19"/>
    <w:rsid w:val="00A7394C"/>
    <w:rsid w:val="00A75DB8"/>
    <w:rsid w:val="00A76A8A"/>
    <w:rsid w:val="00A84DDD"/>
    <w:rsid w:val="00A9118E"/>
    <w:rsid w:val="00A93BC3"/>
    <w:rsid w:val="00A9453E"/>
    <w:rsid w:val="00AA02EB"/>
    <w:rsid w:val="00AA2D54"/>
    <w:rsid w:val="00AA356E"/>
    <w:rsid w:val="00AA4711"/>
    <w:rsid w:val="00AA751E"/>
    <w:rsid w:val="00AB797C"/>
    <w:rsid w:val="00AC1824"/>
    <w:rsid w:val="00AC3780"/>
    <w:rsid w:val="00AC6FFE"/>
    <w:rsid w:val="00AD2940"/>
    <w:rsid w:val="00AD4128"/>
    <w:rsid w:val="00AD5A64"/>
    <w:rsid w:val="00AE33AE"/>
    <w:rsid w:val="00AE7897"/>
    <w:rsid w:val="00AE7C35"/>
    <w:rsid w:val="00AF0CFD"/>
    <w:rsid w:val="00AF2DC2"/>
    <w:rsid w:val="00AF52C3"/>
    <w:rsid w:val="00AF6578"/>
    <w:rsid w:val="00AF717A"/>
    <w:rsid w:val="00B05C00"/>
    <w:rsid w:val="00B109A1"/>
    <w:rsid w:val="00B10DAF"/>
    <w:rsid w:val="00B12DD6"/>
    <w:rsid w:val="00B2238E"/>
    <w:rsid w:val="00B31E24"/>
    <w:rsid w:val="00B3272C"/>
    <w:rsid w:val="00B35FF0"/>
    <w:rsid w:val="00B47E5B"/>
    <w:rsid w:val="00B51D02"/>
    <w:rsid w:val="00B53C55"/>
    <w:rsid w:val="00B53EF0"/>
    <w:rsid w:val="00B55796"/>
    <w:rsid w:val="00B6138A"/>
    <w:rsid w:val="00B70AD8"/>
    <w:rsid w:val="00B7105E"/>
    <w:rsid w:val="00B736CD"/>
    <w:rsid w:val="00B738A4"/>
    <w:rsid w:val="00B76A8D"/>
    <w:rsid w:val="00B76CA6"/>
    <w:rsid w:val="00B80A7C"/>
    <w:rsid w:val="00B8551A"/>
    <w:rsid w:val="00B93390"/>
    <w:rsid w:val="00B946C0"/>
    <w:rsid w:val="00BA2518"/>
    <w:rsid w:val="00BA3973"/>
    <w:rsid w:val="00BA7552"/>
    <w:rsid w:val="00BB4A05"/>
    <w:rsid w:val="00BC0F15"/>
    <w:rsid w:val="00BC78D4"/>
    <w:rsid w:val="00BD12FB"/>
    <w:rsid w:val="00BD291F"/>
    <w:rsid w:val="00BD450C"/>
    <w:rsid w:val="00BD4CF9"/>
    <w:rsid w:val="00BD533F"/>
    <w:rsid w:val="00BD59CA"/>
    <w:rsid w:val="00BD5E16"/>
    <w:rsid w:val="00BD6843"/>
    <w:rsid w:val="00BD6911"/>
    <w:rsid w:val="00BD7019"/>
    <w:rsid w:val="00BD781A"/>
    <w:rsid w:val="00BE3403"/>
    <w:rsid w:val="00BE6F95"/>
    <w:rsid w:val="00BE7964"/>
    <w:rsid w:val="00BF02CA"/>
    <w:rsid w:val="00BF2884"/>
    <w:rsid w:val="00BF317E"/>
    <w:rsid w:val="00BF6F9E"/>
    <w:rsid w:val="00C02053"/>
    <w:rsid w:val="00C16D90"/>
    <w:rsid w:val="00C20C35"/>
    <w:rsid w:val="00C3119C"/>
    <w:rsid w:val="00C40ED3"/>
    <w:rsid w:val="00C471DF"/>
    <w:rsid w:val="00C52A07"/>
    <w:rsid w:val="00C53243"/>
    <w:rsid w:val="00C54C48"/>
    <w:rsid w:val="00C55BFB"/>
    <w:rsid w:val="00C61EE0"/>
    <w:rsid w:val="00C62319"/>
    <w:rsid w:val="00C6463C"/>
    <w:rsid w:val="00C65440"/>
    <w:rsid w:val="00C70B05"/>
    <w:rsid w:val="00C71BB3"/>
    <w:rsid w:val="00C72094"/>
    <w:rsid w:val="00C73810"/>
    <w:rsid w:val="00C77D02"/>
    <w:rsid w:val="00C803DA"/>
    <w:rsid w:val="00C8520E"/>
    <w:rsid w:val="00C86AC9"/>
    <w:rsid w:val="00C902A8"/>
    <w:rsid w:val="00C92977"/>
    <w:rsid w:val="00C92A90"/>
    <w:rsid w:val="00C93630"/>
    <w:rsid w:val="00CA46FB"/>
    <w:rsid w:val="00CA5D52"/>
    <w:rsid w:val="00CB450F"/>
    <w:rsid w:val="00CC17FA"/>
    <w:rsid w:val="00CC1E9F"/>
    <w:rsid w:val="00CC3BB9"/>
    <w:rsid w:val="00CC4326"/>
    <w:rsid w:val="00CD22ED"/>
    <w:rsid w:val="00CD2545"/>
    <w:rsid w:val="00CD28F4"/>
    <w:rsid w:val="00CD707A"/>
    <w:rsid w:val="00CD7093"/>
    <w:rsid w:val="00CD7746"/>
    <w:rsid w:val="00CE17E3"/>
    <w:rsid w:val="00CE3697"/>
    <w:rsid w:val="00CE54A7"/>
    <w:rsid w:val="00CE6339"/>
    <w:rsid w:val="00CE684D"/>
    <w:rsid w:val="00CF1E5B"/>
    <w:rsid w:val="00CF73B7"/>
    <w:rsid w:val="00D062A5"/>
    <w:rsid w:val="00D13339"/>
    <w:rsid w:val="00D166FB"/>
    <w:rsid w:val="00D27D59"/>
    <w:rsid w:val="00D31D50"/>
    <w:rsid w:val="00D32B68"/>
    <w:rsid w:val="00D34CE6"/>
    <w:rsid w:val="00D41748"/>
    <w:rsid w:val="00D50505"/>
    <w:rsid w:val="00D51EAA"/>
    <w:rsid w:val="00D5662C"/>
    <w:rsid w:val="00D61812"/>
    <w:rsid w:val="00D6251B"/>
    <w:rsid w:val="00D664E2"/>
    <w:rsid w:val="00D67F06"/>
    <w:rsid w:val="00D72A99"/>
    <w:rsid w:val="00D740BC"/>
    <w:rsid w:val="00D747D3"/>
    <w:rsid w:val="00D76E58"/>
    <w:rsid w:val="00D809C4"/>
    <w:rsid w:val="00D823E9"/>
    <w:rsid w:val="00D82F27"/>
    <w:rsid w:val="00D83DBD"/>
    <w:rsid w:val="00D84E09"/>
    <w:rsid w:val="00D8525E"/>
    <w:rsid w:val="00D90F08"/>
    <w:rsid w:val="00D91B40"/>
    <w:rsid w:val="00D94AB0"/>
    <w:rsid w:val="00D964D4"/>
    <w:rsid w:val="00D9669F"/>
    <w:rsid w:val="00DA0F7A"/>
    <w:rsid w:val="00DA7B61"/>
    <w:rsid w:val="00DB0BC5"/>
    <w:rsid w:val="00DB4FFF"/>
    <w:rsid w:val="00DC083F"/>
    <w:rsid w:val="00DC19BF"/>
    <w:rsid w:val="00DC3FD2"/>
    <w:rsid w:val="00DC6F3B"/>
    <w:rsid w:val="00DC791C"/>
    <w:rsid w:val="00DD0CC2"/>
    <w:rsid w:val="00DD144B"/>
    <w:rsid w:val="00DD161A"/>
    <w:rsid w:val="00DD1776"/>
    <w:rsid w:val="00DD1C6A"/>
    <w:rsid w:val="00DE212D"/>
    <w:rsid w:val="00DE4B69"/>
    <w:rsid w:val="00DE4FFE"/>
    <w:rsid w:val="00DE596E"/>
    <w:rsid w:val="00DE5970"/>
    <w:rsid w:val="00DE6A04"/>
    <w:rsid w:val="00DF58ED"/>
    <w:rsid w:val="00DF7BE9"/>
    <w:rsid w:val="00E00366"/>
    <w:rsid w:val="00E02C79"/>
    <w:rsid w:val="00E03514"/>
    <w:rsid w:val="00E042B7"/>
    <w:rsid w:val="00E0709B"/>
    <w:rsid w:val="00E125D0"/>
    <w:rsid w:val="00E15A1E"/>
    <w:rsid w:val="00E1781E"/>
    <w:rsid w:val="00E226B5"/>
    <w:rsid w:val="00E229BF"/>
    <w:rsid w:val="00E2326F"/>
    <w:rsid w:val="00E2461D"/>
    <w:rsid w:val="00E24B74"/>
    <w:rsid w:val="00E24EB1"/>
    <w:rsid w:val="00E301B1"/>
    <w:rsid w:val="00E32227"/>
    <w:rsid w:val="00E34B30"/>
    <w:rsid w:val="00E37772"/>
    <w:rsid w:val="00E4027D"/>
    <w:rsid w:val="00E404C9"/>
    <w:rsid w:val="00E409EC"/>
    <w:rsid w:val="00E429AE"/>
    <w:rsid w:val="00E45462"/>
    <w:rsid w:val="00E45D2F"/>
    <w:rsid w:val="00E53CCB"/>
    <w:rsid w:val="00E5599D"/>
    <w:rsid w:val="00E625C1"/>
    <w:rsid w:val="00E658A7"/>
    <w:rsid w:val="00E66036"/>
    <w:rsid w:val="00E6627E"/>
    <w:rsid w:val="00E71720"/>
    <w:rsid w:val="00E801A6"/>
    <w:rsid w:val="00E84FBA"/>
    <w:rsid w:val="00E93AC5"/>
    <w:rsid w:val="00E93F51"/>
    <w:rsid w:val="00E95D14"/>
    <w:rsid w:val="00EA2C00"/>
    <w:rsid w:val="00EA7FE3"/>
    <w:rsid w:val="00EB0CA7"/>
    <w:rsid w:val="00EB1FFC"/>
    <w:rsid w:val="00EB2356"/>
    <w:rsid w:val="00EB23B8"/>
    <w:rsid w:val="00EB3A4D"/>
    <w:rsid w:val="00EB4AEF"/>
    <w:rsid w:val="00EB659E"/>
    <w:rsid w:val="00EC5F1E"/>
    <w:rsid w:val="00ED1E02"/>
    <w:rsid w:val="00ED2839"/>
    <w:rsid w:val="00ED33A8"/>
    <w:rsid w:val="00ED3A0D"/>
    <w:rsid w:val="00ED6E85"/>
    <w:rsid w:val="00EE04FC"/>
    <w:rsid w:val="00EE60BF"/>
    <w:rsid w:val="00EF352F"/>
    <w:rsid w:val="00EF427F"/>
    <w:rsid w:val="00EF4973"/>
    <w:rsid w:val="00EF5744"/>
    <w:rsid w:val="00EF649B"/>
    <w:rsid w:val="00EF7082"/>
    <w:rsid w:val="00EF7D85"/>
    <w:rsid w:val="00F0650D"/>
    <w:rsid w:val="00F06FC8"/>
    <w:rsid w:val="00F07240"/>
    <w:rsid w:val="00F1295A"/>
    <w:rsid w:val="00F1621E"/>
    <w:rsid w:val="00F1737D"/>
    <w:rsid w:val="00F20979"/>
    <w:rsid w:val="00F2225F"/>
    <w:rsid w:val="00F247A0"/>
    <w:rsid w:val="00F24DF5"/>
    <w:rsid w:val="00F252F8"/>
    <w:rsid w:val="00F33068"/>
    <w:rsid w:val="00F40D9C"/>
    <w:rsid w:val="00F434BC"/>
    <w:rsid w:val="00F47647"/>
    <w:rsid w:val="00F5148D"/>
    <w:rsid w:val="00F51977"/>
    <w:rsid w:val="00F529B5"/>
    <w:rsid w:val="00F535CB"/>
    <w:rsid w:val="00F57B7B"/>
    <w:rsid w:val="00F60733"/>
    <w:rsid w:val="00F63D80"/>
    <w:rsid w:val="00F647A0"/>
    <w:rsid w:val="00F64944"/>
    <w:rsid w:val="00F65606"/>
    <w:rsid w:val="00F66C70"/>
    <w:rsid w:val="00F702EB"/>
    <w:rsid w:val="00F723D9"/>
    <w:rsid w:val="00F732E1"/>
    <w:rsid w:val="00F75B81"/>
    <w:rsid w:val="00F75E39"/>
    <w:rsid w:val="00F76712"/>
    <w:rsid w:val="00F9004B"/>
    <w:rsid w:val="00F90F7B"/>
    <w:rsid w:val="00F91F34"/>
    <w:rsid w:val="00F92F46"/>
    <w:rsid w:val="00F936B6"/>
    <w:rsid w:val="00FA4257"/>
    <w:rsid w:val="00FA4F38"/>
    <w:rsid w:val="00FA7DCB"/>
    <w:rsid w:val="00FB0B33"/>
    <w:rsid w:val="00FB5000"/>
    <w:rsid w:val="00FB60D3"/>
    <w:rsid w:val="00FC0D21"/>
    <w:rsid w:val="00FC0DF5"/>
    <w:rsid w:val="00FC1B63"/>
    <w:rsid w:val="00FD4AA4"/>
    <w:rsid w:val="00FD7B49"/>
    <w:rsid w:val="00FE00F9"/>
    <w:rsid w:val="00FE3FCA"/>
    <w:rsid w:val="00FE49E8"/>
    <w:rsid w:val="00FE5412"/>
    <w:rsid w:val="0244104A"/>
    <w:rsid w:val="02F319D1"/>
    <w:rsid w:val="09183FD8"/>
    <w:rsid w:val="0A11470D"/>
    <w:rsid w:val="0AED1E94"/>
    <w:rsid w:val="0FF47601"/>
    <w:rsid w:val="1A7A70A2"/>
    <w:rsid w:val="1C31474A"/>
    <w:rsid w:val="1C800DA8"/>
    <w:rsid w:val="1F7E4C13"/>
    <w:rsid w:val="20B1764F"/>
    <w:rsid w:val="24BD7B04"/>
    <w:rsid w:val="2B472954"/>
    <w:rsid w:val="2E555C93"/>
    <w:rsid w:val="2F106D0B"/>
    <w:rsid w:val="312A44A1"/>
    <w:rsid w:val="32BC524B"/>
    <w:rsid w:val="348B5781"/>
    <w:rsid w:val="372E18EF"/>
    <w:rsid w:val="384257AB"/>
    <w:rsid w:val="387500C6"/>
    <w:rsid w:val="396C5641"/>
    <w:rsid w:val="3E8D936E"/>
    <w:rsid w:val="3F492623"/>
    <w:rsid w:val="3FCD0549"/>
    <w:rsid w:val="401D79A6"/>
    <w:rsid w:val="403B1546"/>
    <w:rsid w:val="4199493D"/>
    <w:rsid w:val="430C6815"/>
    <w:rsid w:val="453D0594"/>
    <w:rsid w:val="490D512B"/>
    <w:rsid w:val="493C6A78"/>
    <w:rsid w:val="49DE3B6B"/>
    <w:rsid w:val="4B010851"/>
    <w:rsid w:val="538C1942"/>
    <w:rsid w:val="5A7E0143"/>
    <w:rsid w:val="5AF865A4"/>
    <w:rsid w:val="5CDCDD2F"/>
    <w:rsid w:val="5FFFCA80"/>
    <w:rsid w:val="61C76C69"/>
    <w:rsid w:val="61D32628"/>
    <w:rsid w:val="66D226BA"/>
    <w:rsid w:val="67F64A15"/>
    <w:rsid w:val="68F2718B"/>
    <w:rsid w:val="6C413068"/>
    <w:rsid w:val="6D4B1CE7"/>
    <w:rsid w:val="6ED91CC2"/>
    <w:rsid w:val="706C18DA"/>
    <w:rsid w:val="712940DE"/>
    <w:rsid w:val="71357517"/>
    <w:rsid w:val="72DE10A0"/>
    <w:rsid w:val="74A00563"/>
    <w:rsid w:val="754763C8"/>
    <w:rsid w:val="75830D26"/>
    <w:rsid w:val="75F9858C"/>
    <w:rsid w:val="76DC19C5"/>
    <w:rsid w:val="78E00FDC"/>
    <w:rsid w:val="7A776277"/>
    <w:rsid w:val="7A84746C"/>
    <w:rsid w:val="7C2B603A"/>
    <w:rsid w:val="7D2F7F9F"/>
    <w:rsid w:val="7FB5E192"/>
    <w:rsid w:val="7FCCEC6F"/>
    <w:rsid w:val="9FEAE763"/>
    <w:rsid w:val="AEF7AEB3"/>
    <w:rsid w:val="DBF4E06D"/>
    <w:rsid w:val="ED71070A"/>
    <w:rsid w:val="EEAED764"/>
    <w:rsid w:val="EEB7D861"/>
    <w:rsid w:val="EFF5AA0E"/>
    <w:rsid w:val="FD788DB1"/>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qFormat="1"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99"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qFormat="1" w:unhideWhenUsed="0" w:uiPriority="99" w:semiHidden="0" w:name="Body Text First Indent"/>
    <w:lsdException w:qFormat="1"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qFormat="1" w:unhideWhenUsed="0"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adjustRightInd w:val="0"/>
      <w:snapToGrid w:val="0"/>
      <w:spacing w:after="200"/>
    </w:pPr>
    <w:rPr>
      <w:rFonts w:ascii="Tahoma" w:hAnsi="Tahoma" w:eastAsia="微软雅黑" w:cs="Times New Roman"/>
      <w:sz w:val="22"/>
      <w:szCs w:val="22"/>
      <w:lang w:val="en-US" w:eastAsia="zh-CN" w:bidi="ar-SA"/>
    </w:rPr>
  </w:style>
  <w:style w:type="paragraph" w:styleId="2">
    <w:name w:val="heading 1"/>
    <w:basedOn w:val="1"/>
    <w:next w:val="1"/>
    <w:qFormat/>
    <w:locked/>
    <w:uiPriority w:val="9"/>
    <w:pPr>
      <w:keepNext/>
      <w:keepLines/>
      <w:spacing w:line="360" w:lineRule="auto"/>
      <w:outlineLvl w:val="0"/>
    </w:pPr>
    <w:rPr>
      <w:b/>
      <w:bCs/>
      <w:kern w:val="44"/>
      <w:sz w:val="30"/>
      <w:szCs w:val="44"/>
    </w:rPr>
  </w:style>
  <w:style w:type="paragraph" w:styleId="3">
    <w:name w:val="heading 3"/>
    <w:basedOn w:val="1"/>
    <w:next w:val="1"/>
    <w:link w:val="29"/>
    <w:semiHidden/>
    <w:unhideWhenUsed/>
    <w:qFormat/>
    <w:locked/>
    <w:uiPriority w:val="0"/>
    <w:pPr>
      <w:keepNext/>
      <w:keepLines/>
      <w:spacing w:before="260" w:after="260" w:line="416" w:lineRule="auto"/>
      <w:outlineLvl w:val="2"/>
    </w:pPr>
    <w:rPr>
      <w:b/>
      <w:bCs/>
      <w:sz w:val="32"/>
      <w:szCs w:val="32"/>
    </w:rPr>
  </w:style>
  <w:style w:type="character" w:default="1" w:styleId="18">
    <w:name w:val="Default Paragraph Font"/>
    <w:semiHidden/>
    <w:unhideWhenUsed/>
    <w:qFormat/>
    <w:uiPriority w:val="1"/>
  </w:style>
  <w:style w:type="table" w:default="1" w:styleId="17">
    <w:name w:val="Normal Table"/>
    <w:semiHidden/>
    <w:unhideWhenUsed/>
    <w:qFormat/>
    <w:uiPriority w:val="99"/>
    <w:tblPr>
      <w:tblCellMar>
        <w:top w:w="0" w:type="dxa"/>
        <w:left w:w="108" w:type="dxa"/>
        <w:bottom w:w="0" w:type="dxa"/>
        <w:right w:w="108" w:type="dxa"/>
      </w:tblCellMar>
    </w:tblPr>
  </w:style>
  <w:style w:type="paragraph" w:styleId="4">
    <w:name w:val="Document Map"/>
    <w:basedOn w:val="1"/>
    <w:link w:val="24"/>
    <w:semiHidden/>
    <w:qFormat/>
    <w:uiPriority w:val="99"/>
    <w:pPr>
      <w:shd w:val="clear" w:color="auto" w:fill="000080"/>
    </w:pPr>
  </w:style>
  <w:style w:type="paragraph" w:styleId="5">
    <w:name w:val="Body Text"/>
    <w:basedOn w:val="1"/>
    <w:next w:val="6"/>
    <w:link w:val="21"/>
    <w:qFormat/>
    <w:uiPriority w:val="99"/>
    <w:pPr>
      <w:spacing w:after="120"/>
    </w:pPr>
  </w:style>
  <w:style w:type="paragraph" w:customStyle="1" w:styleId="6">
    <w:name w:val="xl27"/>
    <w:basedOn w:val="1"/>
    <w:next w:val="7"/>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eastAsia="Arial Unicode MS"/>
      <w:color w:val="000000"/>
      <w:sz w:val="20"/>
      <w:szCs w:val="20"/>
    </w:rPr>
  </w:style>
  <w:style w:type="paragraph" w:customStyle="1" w:styleId="7">
    <w:name w:val="A正文"/>
    <w:qFormat/>
    <w:uiPriority w:val="99"/>
    <w:pPr>
      <w:spacing w:line="480" w:lineRule="exact"/>
      <w:ind w:firstLine="480"/>
    </w:pPr>
    <w:rPr>
      <w:rFonts w:ascii="宋体" w:hAnsi="宋体" w:eastAsia="宋体" w:cs="Times New Roman"/>
      <w:sz w:val="24"/>
      <w:szCs w:val="22"/>
      <w:lang w:val="en-US" w:eastAsia="zh-CN" w:bidi="ar-SA"/>
    </w:rPr>
  </w:style>
  <w:style w:type="paragraph" w:styleId="8">
    <w:name w:val="Body Text Indent"/>
    <w:basedOn w:val="1"/>
    <w:link w:val="27"/>
    <w:semiHidden/>
    <w:unhideWhenUsed/>
    <w:qFormat/>
    <w:uiPriority w:val="99"/>
    <w:pPr>
      <w:spacing w:after="120"/>
      <w:ind w:left="420" w:leftChars="200"/>
    </w:pPr>
  </w:style>
  <w:style w:type="paragraph" w:styleId="9">
    <w:name w:val="Balloon Text"/>
    <w:basedOn w:val="1"/>
    <w:link w:val="31"/>
    <w:semiHidden/>
    <w:unhideWhenUsed/>
    <w:qFormat/>
    <w:uiPriority w:val="99"/>
    <w:pPr>
      <w:spacing w:after="0"/>
    </w:pPr>
    <w:rPr>
      <w:sz w:val="18"/>
      <w:szCs w:val="18"/>
    </w:rPr>
  </w:style>
  <w:style w:type="paragraph" w:styleId="10">
    <w:name w:val="footer"/>
    <w:basedOn w:val="1"/>
    <w:link w:val="20"/>
    <w:qFormat/>
    <w:uiPriority w:val="99"/>
    <w:pPr>
      <w:tabs>
        <w:tab w:val="center" w:pos="4153"/>
        <w:tab w:val="right" w:pos="8306"/>
      </w:tabs>
    </w:pPr>
    <w:rPr>
      <w:sz w:val="18"/>
      <w:szCs w:val="18"/>
    </w:rPr>
  </w:style>
  <w:style w:type="paragraph" w:styleId="11">
    <w:name w:val="header"/>
    <w:basedOn w:val="1"/>
    <w:link w:val="19"/>
    <w:semiHidden/>
    <w:qFormat/>
    <w:uiPriority w:val="99"/>
    <w:pPr>
      <w:pBdr>
        <w:bottom w:val="single" w:color="auto" w:sz="6" w:space="1"/>
      </w:pBdr>
      <w:tabs>
        <w:tab w:val="center" w:pos="4153"/>
        <w:tab w:val="right" w:pos="8306"/>
      </w:tabs>
      <w:jc w:val="center"/>
    </w:pPr>
    <w:rPr>
      <w:sz w:val="18"/>
      <w:szCs w:val="18"/>
    </w:rPr>
  </w:style>
  <w:style w:type="paragraph" w:styleId="12">
    <w:name w:val="toc 2"/>
    <w:basedOn w:val="1"/>
    <w:next w:val="1"/>
    <w:unhideWhenUsed/>
    <w:qFormat/>
    <w:locked/>
    <w:uiPriority w:val="0"/>
    <w:pPr>
      <w:ind w:left="420" w:leftChars="200"/>
    </w:pPr>
  </w:style>
  <w:style w:type="paragraph" w:styleId="13">
    <w:name w:val="Normal (Web)"/>
    <w:basedOn w:val="1"/>
    <w:qFormat/>
    <w:uiPriority w:val="0"/>
    <w:pPr>
      <w:adjustRightInd/>
      <w:snapToGrid/>
      <w:spacing w:before="100" w:beforeAutospacing="1" w:after="100" w:afterAutospacing="1"/>
    </w:pPr>
    <w:rPr>
      <w:rFonts w:ascii="宋体" w:hAnsi="宋体" w:eastAsia="宋体"/>
      <w:sz w:val="24"/>
      <w:szCs w:val="24"/>
    </w:rPr>
  </w:style>
  <w:style w:type="paragraph" w:styleId="14">
    <w:name w:val="Title"/>
    <w:basedOn w:val="1"/>
    <w:next w:val="1"/>
    <w:link w:val="23"/>
    <w:qFormat/>
    <w:uiPriority w:val="99"/>
    <w:pPr>
      <w:spacing w:before="240" w:after="60"/>
      <w:jc w:val="center"/>
      <w:outlineLvl w:val="0"/>
    </w:pPr>
    <w:rPr>
      <w:rFonts w:ascii="Cambria" w:hAnsi="Cambria" w:eastAsia="宋体"/>
      <w:b/>
      <w:bCs/>
      <w:sz w:val="32"/>
      <w:szCs w:val="32"/>
    </w:rPr>
  </w:style>
  <w:style w:type="paragraph" w:styleId="15">
    <w:name w:val="Body Text First Indent"/>
    <w:basedOn w:val="5"/>
    <w:link w:val="22"/>
    <w:qFormat/>
    <w:uiPriority w:val="99"/>
    <w:pPr>
      <w:widowControl w:val="0"/>
      <w:adjustRightInd/>
      <w:snapToGrid/>
      <w:ind w:firstLine="420" w:firstLineChars="100"/>
      <w:jc w:val="both"/>
    </w:pPr>
    <w:rPr>
      <w:rFonts w:ascii="Times New Roman" w:hAnsi="Times New Roman" w:eastAsia="宋体"/>
      <w:kern w:val="2"/>
      <w:sz w:val="21"/>
      <w:szCs w:val="24"/>
    </w:rPr>
  </w:style>
  <w:style w:type="paragraph" w:styleId="16">
    <w:name w:val="Body Text First Indent 2"/>
    <w:basedOn w:val="8"/>
    <w:link w:val="28"/>
    <w:semiHidden/>
    <w:unhideWhenUsed/>
    <w:qFormat/>
    <w:uiPriority w:val="99"/>
    <w:pPr>
      <w:ind w:firstLine="420" w:firstLineChars="200"/>
    </w:pPr>
  </w:style>
  <w:style w:type="character" w:customStyle="1" w:styleId="19">
    <w:name w:val="页眉 字符"/>
    <w:basedOn w:val="18"/>
    <w:link w:val="11"/>
    <w:semiHidden/>
    <w:qFormat/>
    <w:locked/>
    <w:uiPriority w:val="99"/>
    <w:rPr>
      <w:rFonts w:ascii="Tahoma" w:hAnsi="Tahoma" w:cs="Times New Roman"/>
      <w:sz w:val="18"/>
      <w:szCs w:val="18"/>
    </w:rPr>
  </w:style>
  <w:style w:type="character" w:customStyle="1" w:styleId="20">
    <w:name w:val="页脚 字符"/>
    <w:basedOn w:val="18"/>
    <w:link w:val="10"/>
    <w:qFormat/>
    <w:locked/>
    <w:uiPriority w:val="99"/>
    <w:rPr>
      <w:rFonts w:ascii="Tahoma" w:hAnsi="Tahoma" w:cs="Times New Roman"/>
      <w:sz w:val="18"/>
      <w:szCs w:val="18"/>
    </w:rPr>
  </w:style>
  <w:style w:type="character" w:customStyle="1" w:styleId="21">
    <w:name w:val="正文文本 字符"/>
    <w:basedOn w:val="18"/>
    <w:link w:val="5"/>
    <w:qFormat/>
    <w:locked/>
    <w:uiPriority w:val="99"/>
    <w:rPr>
      <w:rFonts w:ascii="Tahoma" w:hAnsi="Tahoma" w:cs="Times New Roman"/>
    </w:rPr>
  </w:style>
  <w:style w:type="character" w:customStyle="1" w:styleId="22">
    <w:name w:val="正文文本首行缩进 字符"/>
    <w:basedOn w:val="21"/>
    <w:link w:val="15"/>
    <w:qFormat/>
    <w:locked/>
    <w:uiPriority w:val="99"/>
    <w:rPr>
      <w:rFonts w:ascii="Times New Roman" w:hAnsi="Times New Roman" w:eastAsia="宋体" w:cs="Times New Roman"/>
      <w:kern w:val="2"/>
      <w:sz w:val="24"/>
      <w:szCs w:val="24"/>
    </w:rPr>
  </w:style>
  <w:style w:type="character" w:customStyle="1" w:styleId="23">
    <w:name w:val="标题 字符"/>
    <w:basedOn w:val="18"/>
    <w:link w:val="14"/>
    <w:qFormat/>
    <w:locked/>
    <w:uiPriority w:val="99"/>
    <w:rPr>
      <w:rFonts w:ascii="Cambria" w:hAnsi="Cambria" w:eastAsia="宋体" w:cs="Times New Roman"/>
      <w:b/>
      <w:bCs/>
      <w:sz w:val="32"/>
      <w:szCs w:val="32"/>
    </w:rPr>
  </w:style>
  <w:style w:type="character" w:customStyle="1" w:styleId="24">
    <w:name w:val="文档结构图 字符"/>
    <w:basedOn w:val="18"/>
    <w:link w:val="4"/>
    <w:semiHidden/>
    <w:qFormat/>
    <w:locked/>
    <w:uiPriority w:val="99"/>
    <w:rPr>
      <w:rFonts w:ascii="Times New Roman" w:hAnsi="Times New Roman" w:cs="Times New Roman"/>
      <w:kern w:val="0"/>
      <w:sz w:val="2"/>
    </w:rPr>
  </w:style>
  <w:style w:type="paragraph" w:customStyle="1" w:styleId="25">
    <w:name w:val="reader-word-layer reader-word-s1-5"/>
    <w:basedOn w:val="1"/>
    <w:qFormat/>
    <w:uiPriority w:val="99"/>
    <w:pPr>
      <w:adjustRightInd/>
      <w:snapToGrid/>
      <w:spacing w:before="100" w:beforeAutospacing="1" w:after="100" w:afterAutospacing="1"/>
    </w:pPr>
    <w:rPr>
      <w:rFonts w:ascii="宋体" w:hAnsi="宋体" w:eastAsia="宋体" w:cs="宋体"/>
      <w:sz w:val="24"/>
      <w:szCs w:val="24"/>
    </w:rPr>
  </w:style>
  <w:style w:type="paragraph" w:customStyle="1" w:styleId="26">
    <w:name w:val="reader-word-layer reader-word-s1-8"/>
    <w:basedOn w:val="1"/>
    <w:qFormat/>
    <w:uiPriority w:val="99"/>
    <w:pPr>
      <w:adjustRightInd/>
      <w:snapToGrid/>
      <w:spacing w:before="100" w:beforeAutospacing="1" w:after="100" w:afterAutospacing="1"/>
    </w:pPr>
    <w:rPr>
      <w:rFonts w:ascii="宋体" w:hAnsi="宋体" w:eastAsia="宋体" w:cs="宋体"/>
      <w:sz w:val="24"/>
      <w:szCs w:val="24"/>
    </w:rPr>
  </w:style>
  <w:style w:type="character" w:customStyle="1" w:styleId="27">
    <w:name w:val="正文文本缩进 字符"/>
    <w:basedOn w:val="18"/>
    <w:link w:val="8"/>
    <w:semiHidden/>
    <w:qFormat/>
    <w:uiPriority w:val="99"/>
    <w:rPr>
      <w:rFonts w:ascii="Tahoma" w:hAnsi="Tahoma"/>
      <w:sz w:val="22"/>
      <w:szCs w:val="22"/>
    </w:rPr>
  </w:style>
  <w:style w:type="character" w:customStyle="1" w:styleId="28">
    <w:name w:val="正文文本首行缩进 2 字符"/>
    <w:basedOn w:val="27"/>
    <w:link w:val="16"/>
    <w:semiHidden/>
    <w:qFormat/>
    <w:uiPriority w:val="99"/>
    <w:rPr>
      <w:rFonts w:ascii="Tahoma" w:hAnsi="Tahoma"/>
      <w:sz w:val="22"/>
      <w:szCs w:val="22"/>
    </w:rPr>
  </w:style>
  <w:style w:type="character" w:customStyle="1" w:styleId="29">
    <w:name w:val="标题 3 字符"/>
    <w:basedOn w:val="18"/>
    <w:link w:val="3"/>
    <w:semiHidden/>
    <w:qFormat/>
    <w:uiPriority w:val="0"/>
    <w:rPr>
      <w:rFonts w:ascii="Tahoma" w:hAnsi="Tahoma"/>
      <w:b/>
      <w:bCs/>
      <w:sz w:val="32"/>
      <w:szCs w:val="32"/>
    </w:rPr>
  </w:style>
  <w:style w:type="paragraph" w:styleId="30">
    <w:name w:val="List Paragraph"/>
    <w:basedOn w:val="1"/>
    <w:unhideWhenUsed/>
    <w:qFormat/>
    <w:uiPriority w:val="99"/>
    <w:pPr>
      <w:ind w:firstLine="420" w:firstLineChars="200"/>
    </w:pPr>
  </w:style>
  <w:style w:type="character" w:customStyle="1" w:styleId="31">
    <w:name w:val="批注框文本 字符"/>
    <w:basedOn w:val="18"/>
    <w:link w:val="9"/>
    <w:semiHidden/>
    <w:qFormat/>
    <w:uiPriority w:val="99"/>
    <w:rPr>
      <w:rFonts w:ascii="Tahoma" w:hAnsi="Tahoma"/>
      <w:sz w:val="18"/>
      <w:szCs w:val="18"/>
    </w:rPr>
  </w:style>
  <w:style w:type="character" w:customStyle="1" w:styleId="32">
    <w:name w:val="fontstyle01"/>
    <w:qFormat/>
    <w:uiPriority w:val="0"/>
    <w:rPr>
      <w:rFonts w:hint="eastAsia" w:ascii="宋体" w:hAnsi="宋体" w:eastAsia="宋体"/>
      <w:color w:val="000000"/>
      <w:sz w:val="24"/>
      <w:szCs w:val="24"/>
    </w:rPr>
  </w:style>
  <w:style w:type="paragraph" w:customStyle="1" w:styleId="33">
    <w:name w:val="修订1"/>
    <w:hidden/>
    <w:semiHidden/>
    <w:qFormat/>
    <w:uiPriority w:val="99"/>
    <w:rPr>
      <w:rFonts w:ascii="Tahoma" w:hAnsi="Tahoma" w:eastAsia="微软雅黑" w:cs="Times New Roman"/>
      <w:sz w:val="22"/>
      <w:szCs w:val="22"/>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Microsoft</Company>
  <Pages>5</Pages>
  <Words>2093</Words>
  <Characters>2192</Characters>
  <Lines>14</Lines>
  <Paragraphs>4</Paragraphs>
  <TotalTime>10</TotalTime>
  <ScaleCrop>false</ScaleCrop>
  <LinksUpToDate>false</LinksUpToDate>
  <CharactersWithSpaces>2198</CharactersWithSpaces>
  <Application>WPS Office_11.8.2.12009_F1E327BC-269C-435d-A152-05C5408002CA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2024-03-13T19:24:00Z</dcterms:created>
  <dc:creator>Administrator</dc:creator>
  <cp:lastModifiedBy>kenovo</cp:lastModifiedBy>
  <cp:lastPrinted>2025-05-23T19:29:00Z</cp:lastPrinted>
  <dcterms:modified xsi:type="dcterms:W3CDTF">2025-12-31T09:21:01Z</dcterms:modified>
  <cp:revision>22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2052-11.8.2.12009</vt:lpwstr>
  </property>
  <property fmtid="{D5CDD505-2E9C-101B-9397-08002B2CF9AE}" pid="3" name="ICV">
    <vt:lpwstr>6CF162566C164BD1AEA1525645AA09C5</vt:lpwstr>
  </property>
  <property fmtid="{D5CDD505-2E9C-101B-9397-08002B2CF9AE}" pid="4" name="KSOTemplateDocerSaveRecord">
    <vt:lpwstr>eyJoZGlkIjoiOWNkYWU5MjFlZmE3NjNlYjU5MDk0ODhjNTlmYjVkNjQifQ==</vt:lpwstr>
  </property>
</Properties>
</file>