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49860">
      <w:pPr>
        <w:spacing w:line="560" w:lineRule="exact"/>
        <w:ind w:firstLine="5440" w:firstLineChars="1700"/>
        <w:rPr>
          <w:rFonts w:hint="eastAsia" w:ascii="仿宋_GB2312" w:hAnsi="仿宋" w:eastAsia="仿宋_GB2312" w:cs="仿宋"/>
          <w:sz w:val="32"/>
          <w:szCs w:val="32"/>
        </w:rPr>
      </w:pPr>
    </w:p>
    <w:p w14:paraId="37DF10F7">
      <w:pPr>
        <w:spacing w:line="560" w:lineRule="exact"/>
        <w:ind w:firstLine="5440" w:firstLineChars="1700"/>
        <w:rPr>
          <w:rFonts w:hint="eastAsia" w:ascii="仿宋_GB2312" w:hAnsi="仿宋" w:eastAsia="仿宋_GB2312" w:cs="仿宋"/>
          <w:sz w:val="32"/>
          <w:szCs w:val="32"/>
        </w:rPr>
      </w:pPr>
    </w:p>
    <w:p w14:paraId="1E1BECDA">
      <w:pPr>
        <w:spacing w:line="560"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常环建〔2025〕</w:t>
      </w:r>
      <w:r>
        <w:rPr>
          <w:rFonts w:hint="eastAsia" w:ascii="仿宋_GB2312" w:hAnsi="仿宋" w:eastAsia="仿宋_GB2312" w:cs="仿宋"/>
          <w:sz w:val="32"/>
          <w:szCs w:val="32"/>
          <w:lang w:val="en-US" w:eastAsia="zh-CN"/>
        </w:rPr>
        <w:t>85</w:t>
      </w:r>
      <w:r>
        <w:rPr>
          <w:rFonts w:hint="eastAsia" w:ascii="仿宋_GB2312" w:hAnsi="仿宋" w:eastAsia="仿宋_GB2312" w:cs="仿宋"/>
          <w:sz w:val="32"/>
          <w:szCs w:val="32"/>
        </w:rPr>
        <w:t>号</w:t>
      </w:r>
    </w:p>
    <w:p w14:paraId="0C059914">
      <w:pPr>
        <w:spacing w:line="560" w:lineRule="exact"/>
        <w:rPr>
          <w:rFonts w:hint="eastAsia" w:ascii="仿宋_GB2312" w:hAnsi="仿宋" w:eastAsia="仿宋_GB2312" w:cs="仿宋"/>
          <w:sz w:val="32"/>
          <w:szCs w:val="32"/>
        </w:rPr>
      </w:pPr>
    </w:p>
    <w:p w14:paraId="544A09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常德市生态环境局</w:t>
      </w:r>
    </w:p>
    <w:p w14:paraId="7B5808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rPr>
        <w:t>关于</w:t>
      </w:r>
      <w:r>
        <w:rPr>
          <w:rFonts w:hint="eastAsia" w:ascii="方正小标宋简体" w:hAnsi="宋体" w:eastAsia="方正小标宋简体" w:cs="宋体"/>
          <w:sz w:val="44"/>
          <w:szCs w:val="44"/>
          <w:lang w:val="en-US" w:eastAsia="zh-CN"/>
        </w:rPr>
        <w:t>长沙至张家界高速公路军山铺服务区项目</w:t>
      </w:r>
    </w:p>
    <w:p w14:paraId="7D3C3F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cs="仿宋"/>
          <w:sz w:val="44"/>
          <w:szCs w:val="44"/>
        </w:rPr>
      </w:pPr>
      <w:r>
        <w:rPr>
          <w:rFonts w:hint="eastAsia" w:ascii="方正小标宋简体" w:hAnsi="宋体" w:eastAsia="方正小标宋简体" w:cs="宋体"/>
          <w:sz w:val="44"/>
          <w:szCs w:val="44"/>
        </w:rPr>
        <w:t>环境影响报告表的批复</w:t>
      </w:r>
    </w:p>
    <w:p w14:paraId="46685BF0">
      <w:pPr>
        <w:keepNext w:val="0"/>
        <w:keepLines w:val="0"/>
        <w:pageBreakBefore w:val="0"/>
        <w:widowControl w:val="0"/>
        <w:kinsoku/>
        <w:wordWrap/>
        <w:overflowPunct/>
        <w:autoSpaceDE/>
        <w:autoSpaceDN/>
        <w:bidi w:val="0"/>
        <w:spacing w:line="580" w:lineRule="exact"/>
        <w:textAlignment w:val="auto"/>
        <w:rPr>
          <w:rFonts w:hint="eastAsia" w:ascii="仿宋_GB2312" w:hAnsi="宋体" w:eastAsia="仿宋_GB2312"/>
          <w:sz w:val="32"/>
          <w:szCs w:val="32"/>
        </w:rPr>
      </w:pPr>
    </w:p>
    <w:p w14:paraId="49C2643D">
      <w:pPr>
        <w:keepNext w:val="0"/>
        <w:keepLines w:val="0"/>
        <w:pageBreakBefore w:val="0"/>
        <w:widowControl w:val="0"/>
        <w:kinsoku/>
        <w:wordWrap/>
        <w:overflowPunct/>
        <w:autoSpaceDE/>
        <w:autoSpaceDN/>
        <w:bidi w:val="0"/>
        <w:adjustRightInd w:val="0"/>
        <w:snapToGrid w:val="0"/>
        <w:spacing w:line="580" w:lineRule="exact"/>
        <w:textAlignment w:val="auto"/>
        <w:rPr>
          <w:rFonts w:ascii="仿宋_GB2312" w:eastAsia="仿宋_GB2312"/>
          <w:sz w:val="32"/>
          <w:szCs w:val="32"/>
        </w:rPr>
      </w:pPr>
      <w:r>
        <w:rPr>
          <w:rFonts w:hint="eastAsia" w:ascii="仿宋_GB2312" w:hAnsi="宋体" w:eastAsia="仿宋_GB2312" w:cs="Arial"/>
          <w:sz w:val="32"/>
          <w:szCs w:val="32"/>
          <w:lang w:val="en-US" w:eastAsia="zh-CN"/>
        </w:rPr>
        <w:t>湖南省高速公路集团有限公司</w:t>
      </w:r>
      <w:r>
        <w:rPr>
          <w:rFonts w:hint="eastAsia" w:ascii="仿宋_GB2312" w:eastAsia="仿宋_GB2312"/>
          <w:sz w:val="32"/>
          <w:szCs w:val="32"/>
        </w:rPr>
        <w:t>：</w:t>
      </w:r>
    </w:p>
    <w:p w14:paraId="61B7C70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你</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val="en-US" w:eastAsia="zh-CN"/>
        </w:rPr>
        <w:t>关于</w:t>
      </w:r>
      <w:r>
        <w:rPr>
          <w:rFonts w:hint="eastAsia" w:ascii="仿宋_GB2312" w:eastAsia="仿宋_GB2312"/>
          <w:sz w:val="32"/>
          <w:szCs w:val="32"/>
          <w:lang w:eastAsia="zh-CN"/>
        </w:rPr>
        <w:t>申请对</w:t>
      </w:r>
      <w:r>
        <w:rPr>
          <w:rFonts w:hint="eastAsia" w:ascii="仿宋_GB2312" w:eastAsia="仿宋_GB2312"/>
          <w:sz w:val="32"/>
          <w:szCs w:val="32"/>
        </w:rPr>
        <w:t>&lt;</w:t>
      </w:r>
      <w:r>
        <w:rPr>
          <w:rFonts w:hint="eastAsia" w:ascii="仿宋_GB2312" w:eastAsia="仿宋_GB2312"/>
          <w:sz w:val="32"/>
          <w:szCs w:val="32"/>
          <w:lang w:val="en-US" w:eastAsia="zh-CN"/>
        </w:rPr>
        <w:t>长沙至张家界高速公路军山铺服务区项目</w:t>
      </w:r>
      <w:r>
        <w:rPr>
          <w:rFonts w:hint="eastAsia" w:ascii="仿宋_GB2312" w:eastAsia="仿宋_GB2312"/>
          <w:sz w:val="32"/>
          <w:szCs w:val="32"/>
          <w:lang w:eastAsia="zh-CN"/>
        </w:rPr>
        <w:t>环</w:t>
      </w:r>
      <w:r>
        <w:rPr>
          <w:rFonts w:hint="eastAsia" w:ascii="仿宋_GB2312" w:eastAsia="仿宋_GB2312"/>
          <w:sz w:val="32"/>
          <w:szCs w:val="32"/>
        </w:rPr>
        <w:t>境影响报告表&gt;</w:t>
      </w:r>
      <w:r>
        <w:rPr>
          <w:rFonts w:hint="eastAsia" w:ascii="仿宋_GB2312" w:eastAsia="仿宋_GB2312"/>
          <w:sz w:val="32"/>
          <w:szCs w:val="32"/>
          <w:lang w:eastAsia="zh-CN"/>
        </w:rPr>
        <w:t>进行审批</w:t>
      </w:r>
      <w:r>
        <w:rPr>
          <w:rFonts w:hint="eastAsia" w:ascii="仿宋_GB2312" w:eastAsia="仿宋_GB2312"/>
          <w:sz w:val="32"/>
          <w:szCs w:val="32"/>
        </w:rPr>
        <w:t>的请示</w:t>
      </w:r>
      <w:r>
        <w:rPr>
          <w:rFonts w:hint="eastAsia" w:ascii="仿宋_GB2312" w:hAnsi="宋体" w:eastAsia="仿宋_GB2312"/>
          <w:sz w:val="32"/>
          <w:szCs w:val="32"/>
        </w:rPr>
        <w:t>》</w:t>
      </w:r>
      <w:r>
        <w:rPr>
          <w:rFonts w:hint="eastAsia" w:ascii="仿宋_GB2312" w:hAnsi="宋体" w:eastAsia="仿宋_GB2312"/>
          <w:sz w:val="32"/>
          <w:szCs w:val="32"/>
          <w:lang w:val="en-US" w:eastAsia="zh-CN"/>
        </w:rPr>
        <w:t>以及附送的</w:t>
      </w:r>
      <w:r>
        <w:rPr>
          <w:rFonts w:hint="eastAsia" w:ascii="仿宋_GB2312" w:hAnsi="宋体" w:eastAsia="仿宋_GB2312"/>
          <w:sz w:val="32"/>
          <w:szCs w:val="32"/>
        </w:rPr>
        <w:t>《</w:t>
      </w:r>
      <w:r>
        <w:rPr>
          <w:rFonts w:hint="eastAsia" w:ascii="仿宋_GB2312" w:eastAsia="仿宋_GB2312"/>
          <w:sz w:val="32"/>
          <w:szCs w:val="32"/>
          <w:lang w:val="en-US" w:eastAsia="zh-CN"/>
        </w:rPr>
        <w:t>长沙至张家界高速公路军山铺服务区项目</w:t>
      </w:r>
      <w:r>
        <w:rPr>
          <w:rFonts w:hint="eastAsia" w:ascii="仿宋_GB2312" w:eastAsia="仿宋_GB2312"/>
          <w:sz w:val="32"/>
          <w:szCs w:val="32"/>
          <w:lang w:eastAsia="zh-CN"/>
        </w:rPr>
        <w:t>环</w:t>
      </w:r>
      <w:r>
        <w:rPr>
          <w:rFonts w:hint="eastAsia" w:ascii="仿宋_GB2312" w:eastAsia="仿宋_GB2312"/>
          <w:sz w:val="32"/>
          <w:szCs w:val="32"/>
        </w:rPr>
        <w:t>境影响报告表</w:t>
      </w:r>
      <w:r>
        <w:rPr>
          <w:rFonts w:hint="eastAsia" w:ascii="仿宋_GB2312" w:hAnsi="宋体" w:eastAsia="仿宋_GB2312"/>
          <w:sz w:val="32"/>
          <w:szCs w:val="32"/>
        </w:rPr>
        <w:t>》（以下简称《报告表》）及相关材料收悉，</w:t>
      </w:r>
      <w:r>
        <w:rPr>
          <w:rFonts w:hint="eastAsia" w:ascii="仿宋_GB2312" w:hAnsi="仿宋" w:eastAsia="仿宋_GB2312"/>
          <w:bCs/>
          <w:sz w:val="32"/>
          <w:szCs w:val="32"/>
        </w:rPr>
        <w:t>根据专家评审意见、常德市生态环境局</w:t>
      </w:r>
      <w:r>
        <w:rPr>
          <w:rFonts w:hint="eastAsia" w:ascii="仿宋_GB2312" w:hAnsi="仿宋" w:eastAsia="仿宋_GB2312"/>
          <w:bCs/>
          <w:sz w:val="32"/>
          <w:szCs w:val="32"/>
          <w:lang w:val="en-US" w:eastAsia="zh-CN"/>
        </w:rPr>
        <w:t>汉寿</w:t>
      </w:r>
      <w:r>
        <w:rPr>
          <w:rFonts w:hint="eastAsia" w:ascii="仿宋_GB2312" w:hAnsi="仿宋" w:eastAsia="仿宋_GB2312"/>
          <w:bCs/>
          <w:sz w:val="32"/>
          <w:szCs w:val="32"/>
        </w:rPr>
        <w:t>分局对《报告表》出具的预审意见和《报告表》受理后在网上公示期间未收到反馈意见的情况，</w:t>
      </w:r>
      <w:r>
        <w:rPr>
          <w:rFonts w:hint="eastAsia" w:ascii="仿宋_GB2312" w:eastAsia="仿宋_GB2312"/>
          <w:sz w:val="32"/>
          <w:szCs w:val="32"/>
        </w:rPr>
        <w:t>经研究</w:t>
      </w:r>
      <w:r>
        <w:rPr>
          <w:rFonts w:hint="eastAsia" w:ascii="仿宋_GB2312" w:eastAsia="仿宋_GB2312"/>
          <w:sz w:val="32"/>
          <w:szCs w:val="32"/>
          <w:lang w:eastAsia="zh-CN"/>
        </w:rPr>
        <w:t>，</w:t>
      </w:r>
      <w:r>
        <w:rPr>
          <w:rFonts w:hint="eastAsia" w:ascii="仿宋_GB2312" w:eastAsia="仿宋_GB2312"/>
          <w:sz w:val="32"/>
          <w:szCs w:val="32"/>
        </w:rPr>
        <w:t>现批复如下:</w:t>
      </w:r>
    </w:p>
    <w:p w14:paraId="1EB705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一、长沙至张家界高速公路军山铺服务区项目位于湖南省常德市汉寿县军山铺镇G5513长张高速益常段K96处，总占地面积12.90hm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。服务区为</w:t>
      </w:r>
      <w:r>
        <w:rPr>
          <w:rFonts w:hint="default" w:ascii="仿宋_GB2312" w:eastAsia="仿宋_GB2312"/>
          <w:sz w:val="32"/>
          <w:szCs w:val="32"/>
          <w:lang w:val="en-US" w:eastAsia="zh-CN"/>
        </w:rPr>
        <w:t>Ⅱ</w:t>
      </w:r>
      <w:r>
        <w:rPr>
          <w:rFonts w:hint="eastAsia" w:ascii="仿宋_GB2312" w:eastAsia="仿宋_GB2312"/>
          <w:sz w:val="32"/>
          <w:szCs w:val="32"/>
          <w:lang w:val="en-US" w:eastAsia="zh-CN"/>
        </w:rPr>
        <w:t>类服务区，采用对称布置，建筑面积9660m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项目建设内容主要包括服务区工程和主线改造工程两部分。服务区工程建设内容包括：综合服务楼、车辆维修站、充电站、加油站、环保设施、辅助设施等。主线改造工程建设内容包括：主线改造2公里，同步建设必要配套工程、交通工程和沿线设施。项目总投资17804.28万元，其中环保投资396万元，占总投资的2.22%。</w:t>
      </w:r>
    </w:p>
    <w:p w14:paraId="3861A14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根据《报告表》结论、专家评审意见、常德市生态环境局汉寿分局对《报告表》出具的预审意见，以及相关行政主管部门的意见，该项目符合国家产业政策及相关规划要求。你单位在严格落实《报告表》及批复提出的各项生态环境保护和污染防治措施、环境风险防治措施，确保环保设施正常运行、污染物达标排放和风险可控的前提下，从生态环境保护角度我局原则同意项目建设。</w:t>
      </w:r>
    </w:p>
    <w:p w14:paraId="3C21B215">
      <w:pPr>
        <w:keepNext w:val="0"/>
        <w:keepLines w:val="0"/>
        <w:pageBreakBefore w:val="0"/>
        <w:widowControl w:val="0"/>
        <w:kinsoku/>
        <w:wordWrap/>
        <w:overflow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三、项目在设计、建设和运营管理过程中，必须全面落实《报告表》提出的各项污染防治措施并着重做好如下工作：</w:t>
      </w:r>
    </w:p>
    <w:p w14:paraId="3D35FC3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highlight w:val="none"/>
          <w:lang w:val="zh-TW" w:eastAsia="zh-TW"/>
        </w:rPr>
        <w:t>（一）严格落实水污染防治措施</w:t>
      </w:r>
      <w:r>
        <w:rPr>
          <w:rFonts w:hint="eastAsia" w:ascii="仿宋_GB2312" w:hAnsi="仿宋" w:eastAsia="仿宋_GB2312" w:cs="仿宋"/>
          <w:color w:val="auto"/>
          <w:sz w:val="32"/>
          <w:szCs w:val="32"/>
          <w:highlight w:val="none"/>
          <w:lang w:val="zh-TW" w:eastAsia="zh-CN"/>
        </w:rPr>
        <w:t>。按照雨污分流、清污分流、污污分流的原则建设给排水、污水处理系统</w:t>
      </w:r>
      <w:r>
        <w:rPr>
          <w:rFonts w:hint="eastAsia" w:ascii="仿宋_GB2312" w:hAnsi="仿宋" w:eastAsia="仿宋_GB2312" w:cs="仿宋"/>
          <w:color w:val="auto"/>
          <w:sz w:val="32"/>
          <w:szCs w:val="32"/>
          <w:lang w:val="zh-TW" w:eastAsia="zh-CN"/>
        </w:rPr>
        <w:t>。</w:t>
      </w:r>
      <w:r>
        <w:rPr>
          <w:rFonts w:hint="eastAsia" w:ascii="仿宋_GB2312" w:hAnsi="仿宋" w:eastAsia="仿宋_GB2312" w:cs="仿宋"/>
          <w:color w:val="auto"/>
          <w:sz w:val="32"/>
          <w:szCs w:val="32"/>
          <w:lang w:val="en-US" w:eastAsia="zh-CN"/>
        </w:rPr>
        <w:t>施工期：在施工场地周围设置集水沟和隔油沉淀池，所有施工废水经隔油沉淀处理后回用，不外排；严禁生产废水和生活废水直接排入自然水体。运营期：项目设置400m³/d(南区和北区各1个200m³/d)地埋式接触氧化污水处理设施，加油站地面冲洗废水及车辆维修站冲洗废水经隔油池、沉淀池预处理后，与经化粪池或隔油池预处理后的生活污水，一并排入服务区污水处理设施，处理达标后排入周边农灌渠；废水排放须达到《污水综合排放标准》(GB8978-1996)表4一级标准和《汽车维修业水污染物排放标准》(GB26877-2011)表2直接排放标准限值中较严的标准限值;洗罐废水经收集后由第三方专业清洗单位带走。</w:t>
      </w:r>
    </w:p>
    <w:p w14:paraId="1186372E">
      <w:pPr>
        <w:keepNext w:val="0"/>
        <w:keepLines w:val="0"/>
        <w:pageBreakBefore w:val="0"/>
        <w:widowControl/>
        <w:suppressLineNumbers w:val="0"/>
        <w:kinsoku/>
        <w:wordWrap/>
        <w:overflowPunct/>
        <w:autoSpaceDE/>
        <w:autoSpaceDN/>
        <w:bidi w:val="0"/>
        <w:spacing w:line="580" w:lineRule="exact"/>
        <w:ind w:firstLine="640" w:firstLineChars="200"/>
        <w:jc w:val="both"/>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（二）严格落实大气污染防治措施。</w:t>
      </w:r>
      <w:r>
        <w:rPr>
          <w:rFonts w:hint="eastAsia" w:ascii="仿宋_GB2312" w:hAnsi="宋体" w:eastAsia="仿宋_GB2312"/>
          <w:color w:val="auto"/>
          <w:sz w:val="32"/>
          <w:szCs w:val="32"/>
          <w:lang w:val="en-US" w:eastAsia="zh-CN"/>
        </w:rPr>
        <w:t>施工期：严格落实建筑施工扬尘污染防治“</w:t>
      </w:r>
      <w:r>
        <w:rPr>
          <w:rFonts w:hint="default" w:ascii="仿宋_GB2312" w:hAnsi="宋体" w:eastAsia="仿宋_GB2312"/>
          <w:color w:val="auto"/>
          <w:sz w:val="32"/>
          <w:szCs w:val="32"/>
          <w:lang w:val="en-US" w:eastAsia="zh-CN"/>
        </w:rPr>
        <w:t>8</w:t>
      </w:r>
      <w:r>
        <w:rPr>
          <w:rFonts w:hint="eastAsia" w:ascii="仿宋_GB2312" w:hAnsi="宋体" w:eastAsia="仿宋_GB2312"/>
          <w:color w:val="auto"/>
          <w:sz w:val="32"/>
          <w:szCs w:val="32"/>
          <w:lang w:val="en-US" w:eastAsia="zh-CN"/>
        </w:rPr>
        <w:t>个</w:t>
      </w:r>
      <w:r>
        <w:rPr>
          <w:rFonts w:hint="default" w:ascii="仿宋_GB2312" w:hAnsi="宋体" w:eastAsia="仿宋_GB2312"/>
          <w:color w:val="auto"/>
          <w:sz w:val="32"/>
          <w:szCs w:val="32"/>
          <w:lang w:val="en-US" w:eastAsia="zh-CN"/>
        </w:rPr>
        <w:t>100%</w:t>
      </w:r>
      <w:r>
        <w:rPr>
          <w:rFonts w:hint="eastAsia" w:ascii="仿宋_GB2312" w:hAnsi="宋体" w:eastAsia="仿宋_GB2312"/>
          <w:color w:val="auto"/>
          <w:sz w:val="32"/>
          <w:szCs w:val="32"/>
          <w:lang w:val="en-US" w:eastAsia="zh-CN"/>
        </w:rPr>
        <w:t>”抑尘措施；选用合格机械设备、合格燃油，加强设备维护，减轻机械尾气对周围空气环境的影响；严禁加热、熔化、焚烧有毒有害物质及其它易产生有毒气体的物质。运营期：服务区加油站设置卸油油气回收系统、加油油气回收系统、油气处理系统，满足《加油站大气污染物排放标准》(GB20952-2020)油气处理装置排放限值及油气浓度无组织排放限值要求；柴油发电机废气经消烟除尘器、车辆维修站焊接废气经焊接烟尘净化器处理后排放，满足《大气污染物综合排放标准》（GB16297-1996）表2中的二级标准限值要求；服务区综合楼厨房餐厨油烟经油烟净化器处理后引至屋顶排放，满足《饮食业油烟排放标准（试行）》（GB18483-2001）限值要求。</w:t>
      </w:r>
    </w:p>
    <w:p w14:paraId="1004FE97">
      <w:pPr>
        <w:keepNext w:val="0"/>
        <w:keepLines w:val="0"/>
        <w:pageBreakBefore w:val="0"/>
        <w:widowControl/>
        <w:suppressLineNumbers w:val="0"/>
        <w:kinsoku/>
        <w:wordWrap/>
        <w:overflowPunct/>
        <w:autoSpaceDE/>
        <w:autoSpaceDN/>
        <w:bidi w:val="0"/>
        <w:spacing w:line="580" w:lineRule="exact"/>
        <w:ind w:firstLine="640" w:firstLineChars="200"/>
        <w:jc w:val="both"/>
        <w:textAlignment w:val="auto"/>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rPr>
        <w:t>）</w:t>
      </w:r>
      <w:r>
        <w:rPr>
          <w:rFonts w:hint="default" w:ascii="仿宋_GB2312" w:hAnsi="宋体" w:eastAsia="仿宋_GB2312"/>
          <w:color w:val="auto"/>
          <w:sz w:val="32"/>
          <w:szCs w:val="32"/>
          <w:lang w:val="en-US" w:eastAsia="zh-CN"/>
        </w:rPr>
        <w:t>严格落实生态保护措施。</w:t>
      </w:r>
      <w:r>
        <w:rPr>
          <w:rFonts w:hint="eastAsia" w:ascii="仿宋_GB2312" w:hAnsi="仿宋" w:eastAsia="仿宋_GB2312" w:cs="仿宋"/>
          <w:color w:val="auto"/>
          <w:sz w:val="32"/>
          <w:szCs w:val="32"/>
          <w:lang w:val="en-US" w:eastAsia="zh-CN"/>
        </w:rPr>
        <w:t>施工边界设置围挡，严格控制工程施工占地范围，施工便道等临时用地严格按照设计范围设置；严格落实水土保持方案的要求；按照边施工边恢复的原则，对施工完成的区域、临时占地及时采取生态恢复措施。</w:t>
      </w:r>
    </w:p>
    <w:p w14:paraId="6341CF2F">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zh-TW" w:eastAsia="zh-TW"/>
        </w:rPr>
        <w:t>（</w:t>
      </w:r>
      <w:r>
        <w:rPr>
          <w:rFonts w:hint="eastAsia" w:ascii="仿宋_GB2312" w:hAnsi="仿宋" w:eastAsia="仿宋_GB2312" w:cs="仿宋"/>
          <w:color w:val="auto"/>
          <w:sz w:val="32"/>
          <w:szCs w:val="32"/>
          <w:lang w:val="en-US" w:eastAsia="zh-CN"/>
        </w:rPr>
        <w:t>四</w:t>
      </w:r>
      <w:r>
        <w:rPr>
          <w:rFonts w:hint="eastAsia" w:ascii="仿宋_GB2312" w:hAnsi="仿宋" w:eastAsia="仿宋_GB2312" w:cs="仿宋"/>
          <w:color w:val="auto"/>
          <w:sz w:val="32"/>
          <w:szCs w:val="32"/>
          <w:lang w:val="zh-TW" w:eastAsia="zh-TW"/>
        </w:rPr>
        <w:t>）严格</w:t>
      </w:r>
      <w:r>
        <w:rPr>
          <w:rFonts w:hint="eastAsia" w:ascii="仿宋_GB2312" w:hAnsi="仿宋" w:eastAsia="仿宋_GB2312" w:cs="仿宋"/>
          <w:color w:val="auto"/>
          <w:sz w:val="32"/>
          <w:szCs w:val="32"/>
          <w:lang w:val="zh-TW" w:eastAsia="zh-CN"/>
        </w:rPr>
        <w:t>控制噪声污染。</w:t>
      </w:r>
      <w:r>
        <w:rPr>
          <w:rFonts w:hint="eastAsia" w:ascii="仿宋_GB2312" w:hAnsi="仿宋" w:eastAsia="仿宋_GB2312" w:cs="仿宋"/>
          <w:color w:val="auto"/>
          <w:sz w:val="32"/>
          <w:szCs w:val="32"/>
          <w:lang w:val="en-US" w:eastAsia="zh-CN"/>
        </w:rPr>
        <w:t>施工期：要进一步加强施工机械和运输车辆的管理，限定施工车辆运输路线和时间，须选用低噪声施工机械和工艺；在环境敏感点附近，应采取设置围挡或移动式声屏障等有效的隔声降噪措施，对于噪声较大的固定声源采取减振基座等降噪措施，禁止夜间（22:00—6:00）从事高噪声施工作业和物料运输，防止噪声扰民。运营期：增强服务区及匝道周边绿化，加强对沿线敏感点噪声的跟踪监测，根据监测结果及时采取进一步噪声防治措施，对噪声超标的敏感点采取安装隔声窗等措施，确保敏感点满足相应环境功能区标准要求，避免出现扰民问题。</w:t>
      </w:r>
    </w:p>
    <w:p w14:paraId="7B647062">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严格落实固体废物分类管理与处置措施。施工期：项目为土石方开挖过程中产生的弃渣设置2处弃渣场，通过分层压实堆填后，再进行覆土与生态恢复；妥善堆存建筑垃圾，可回收利用的交由资源回收单位进行回收处理，无法回收利用的转运至就近的建筑垃圾填埋场进行处理；生活垃圾分类收集后进入环卫系统处理。运营期：严格按照“无害化、减量化、资源化”的原则做好固体废物的综合利用和安全处置工作;</w:t>
      </w:r>
      <w:bookmarkStart w:id="0" w:name="_GoBack"/>
      <w:bookmarkEnd w:id="0"/>
      <w:r>
        <w:rPr>
          <w:rFonts w:hint="eastAsia" w:ascii="仿宋_GB2312" w:hAnsi="仿宋" w:eastAsia="仿宋_GB2312" w:cs="仿宋"/>
          <w:color w:val="auto"/>
          <w:sz w:val="32"/>
          <w:szCs w:val="32"/>
          <w:lang w:val="en-US" w:eastAsia="zh-CN"/>
        </w:rPr>
        <w:t>按《报告表》明确的要求设置危废暂存间，危险废物执行《危险废物贮存污染控制标准》（GB18597-2023），一般工业固体废物执行《一般工业固体废物贮存和填埋污染控制标准》（GB18599-2020）；生活垃圾分类收集后交由环卫部门转运处置；餐厨垃圾均经桶装收集后交由有餐厨垃圾处置资质的专业单位回收处理。</w:t>
      </w:r>
    </w:p>
    <w:p w14:paraId="11ADFC83">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六）落实土壤及地下水污染防治措施。项目设置地埋式双层油罐，加油区及罐区地面、输油管线表面进行防腐、防渗处理，配备渗漏检测传感器与自动报警系统，输油管道采用双层管线并设置泄漏检测设施。落实地下油罐区、卸油区、加油区、危废暂存间等重点防渗区的防渗措施，建立防渗监测台账，详细记录自动报警系统运行数据及地下观测井监测结果。</w:t>
      </w:r>
    </w:p>
    <w:p w14:paraId="72DCD91F">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（七）落实环境风险防控措施。建立环保规章制度和岗位责任制，落实各项事故应急防范措施，严防风险事故发生。</w:t>
      </w:r>
    </w:p>
    <w:p w14:paraId="3B3DEA86">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zh-TW" w:eastAsia="zh-CN"/>
        </w:rPr>
      </w:pPr>
      <w:r>
        <w:rPr>
          <w:rFonts w:hint="eastAsia" w:ascii="仿宋_GB2312" w:hAnsi="仿宋" w:eastAsia="仿宋_GB2312" w:cs="仿宋"/>
          <w:color w:val="auto"/>
          <w:sz w:val="32"/>
          <w:szCs w:val="32"/>
          <w:lang w:val="zh-TW" w:eastAsia="zh-CN"/>
        </w:rPr>
        <w:t>三、《报告表》经批准后，建设项目的性质、规模、地点、采用的生产工艺或者防治污染、防止生态破坏的措施发生重大变动的，应重新向我局报批环境影响评价文件；或自批准之日起超过五年，方决定建设项目开工建设的，其《报告表》应报我局重新审核。项目在实际排污之前须完善排污许可相关手续，并严格按规定程序实施竣工环境保护验收。本项目建设、运行依法需要其他行政许可的，你单位应按规定及时办理并取得其他行政许可。</w:t>
      </w:r>
    </w:p>
    <w:p w14:paraId="438361CC">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zh-TW" w:eastAsia="zh-CN"/>
        </w:rPr>
      </w:pPr>
      <w:r>
        <w:rPr>
          <w:rFonts w:hint="eastAsia" w:ascii="仿宋_GB2312" w:hAnsi="仿宋" w:eastAsia="仿宋_GB2312" w:cs="仿宋"/>
          <w:color w:val="auto"/>
          <w:sz w:val="32"/>
          <w:szCs w:val="32"/>
          <w:lang w:val="en-US" w:eastAsia="zh-CN"/>
        </w:rPr>
        <w:t>四、</w:t>
      </w:r>
      <w:r>
        <w:rPr>
          <w:rFonts w:hint="eastAsia" w:ascii="仿宋_GB2312" w:hAnsi="仿宋" w:eastAsia="仿宋_GB2312" w:cs="仿宋"/>
          <w:color w:val="auto"/>
          <w:sz w:val="32"/>
          <w:szCs w:val="32"/>
          <w:lang w:val="zh-TW" w:eastAsia="zh-CN"/>
        </w:rPr>
        <w:t>该项目的“三同时”监督检查及日常环境管理工作按属地管理原则由常德市生态环境局</w:t>
      </w:r>
      <w:r>
        <w:rPr>
          <w:rFonts w:hint="eastAsia" w:ascii="仿宋_GB2312" w:hAnsi="仿宋" w:eastAsia="仿宋_GB2312" w:cs="仿宋"/>
          <w:color w:val="auto"/>
          <w:sz w:val="32"/>
          <w:szCs w:val="32"/>
          <w:lang w:val="en-US" w:eastAsia="zh-CN"/>
        </w:rPr>
        <w:t>汉寿</w:t>
      </w:r>
      <w:r>
        <w:rPr>
          <w:rFonts w:hint="eastAsia" w:ascii="仿宋_GB2312" w:hAnsi="仿宋" w:eastAsia="仿宋_GB2312" w:cs="仿宋"/>
          <w:color w:val="auto"/>
          <w:sz w:val="32"/>
          <w:szCs w:val="32"/>
          <w:lang w:val="zh-TW" w:eastAsia="zh-CN"/>
        </w:rPr>
        <w:t>分局具体负责。你单位应在收到本批复后的5个工作日内，将批准后的《报告表》及本批复送至常德市生态环境局</w:t>
      </w:r>
      <w:r>
        <w:rPr>
          <w:rFonts w:hint="eastAsia" w:ascii="仿宋_GB2312" w:hAnsi="仿宋" w:eastAsia="仿宋_GB2312" w:cs="仿宋"/>
          <w:color w:val="auto"/>
          <w:sz w:val="32"/>
          <w:szCs w:val="32"/>
          <w:lang w:val="en-US" w:eastAsia="zh-CN"/>
        </w:rPr>
        <w:t>汉寿</w:t>
      </w:r>
      <w:r>
        <w:rPr>
          <w:rFonts w:hint="eastAsia" w:ascii="仿宋_GB2312" w:hAnsi="仿宋" w:eastAsia="仿宋_GB2312" w:cs="仿宋"/>
          <w:color w:val="auto"/>
          <w:sz w:val="32"/>
          <w:szCs w:val="32"/>
          <w:lang w:val="zh-TW" w:eastAsia="zh-CN"/>
        </w:rPr>
        <w:t>分局。</w:t>
      </w:r>
    </w:p>
    <w:p w14:paraId="4ED0ECA4">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仿宋_GB2312" w:hAnsi="仿宋" w:eastAsia="仿宋_GB2312" w:cs="仿宋"/>
          <w:color w:val="auto"/>
          <w:sz w:val="32"/>
          <w:szCs w:val="32"/>
          <w:lang w:val="zh-TW" w:eastAsia="zh-CN"/>
        </w:rPr>
      </w:pPr>
    </w:p>
    <w:p w14:paraId="25D3B24B">
      <w:pPr>
        <w:keepNext w:val="0"/>
        <w:keepLines w:val="0"/>
        <w:pageBreakBefore w:val="0"/>
        <w:widowControl w:val="0"/>
        <w:tabs>
          <w:tab w:val="left" w:pos="7560"/>
        </w:tabs>
        <w:kinsoku/>
        <w:wordWrap/>
        <w:overflowPunct/>
        <w:autoSpaceDE/>
        <w:autoSpaceDN/>
        <w:bidi w:val="0"/>
        <w:adjustRightInd w:val="0"/>
        <w:snapToGrid w:val="0"/>
        <w:spacing w:line="580" w:lineRule="exact"/>
        <w:textAlignment w:val="auto"/>
        <w:rPr>
          <w:rFonts w:hint="eastAsia" w:ascii="仿宋_GB2312" w:hAnsi="宋体" w:eastAsia="仿宋_GB2312"/>
          <w:sz w:val="32"/>
          <w:szCs w:val="32"/>
        </w:rPr>
      </w:pPr>
    </w:p>
    <w:p w14:paraId="5CA40C06">
      <w:pPr>
        <w:keepNext w:val="0"/>
        <w:keepLines w:val="0"/>
        <w:pageBreakBefore w:val="0"/>
        <w:widowControl w:val="0"/>
        <w:kinsoku/>
        <w:wordWrap/>
        <w:overflowPunct/>
        <w:autoSpaceDE/>
        <w:autoSpaceDN/>
        <w:bidi w:val="0"/>
        <w:adjustRightInd w:val="0"/>
        <w:snapToGrid w:val="0"/>
        <w:spacing w:line="580" w:lineRule="exact"/>
        <w:ind w:left="0" w:leftChars="0" w:firstLine="5040" w:firstLineChars="1575"/>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常德市生态环境局</w:t>
      </w:r>
    </w:p>
    <w:p w14:paraId="56681515">
      <w:pPr>
        <w:keepNext w:val="0"/>
        <w:keepLines w:val="0"/>
        <w:pageBreakBefore w:val="0"/>
        <w:widowControl w:val="0"/>
        <w:kinsoku/>
        <w:wordWrap/>
        <w:overflowPunct/>
        <w:autoSpaceDE/>
        <w:autoSpaceDN/>
        <w:bidi w:val="0"/>
        <w:adjustRightInd w:val="0"/>
        <w:snapToGrid w:val="0"/>
        <w:spacing w:line="580" w:lineRule="exact"/>
        <w:ind w:left="0" w:leftChars="0" w:firstLine="5040" w:firstLineChars="1575"/>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2025年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日</w:t>
      </w:r>
    </w:p>
    <w:p w14:paraId="6A1A4CB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65154C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195255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AF227D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4DCF9FC">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488287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C3DF38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F31555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A06ED2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3E47C9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9D0235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2EE0C19">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845103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F21D31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CD5F72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AA15C5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E0DC77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DE09E5C">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8EE6A9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F190FE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265CE3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4FBFAD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04C8AD9">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122A4A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610A669">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D94E0B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824941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43C45B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15D3EF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16E5F9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E97347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D0F9A5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1A587C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5640CB2">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A07760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7A985C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118695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676458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75BFD4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E238BE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B95C8F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EB9FD0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2943D2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8EB4769">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AC0488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180129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CB89B7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D6C304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1617E2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70C954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5984F8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361D7A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34ABF8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DEE3BF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B9EEED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6B4BAB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6B935A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80998D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2320F5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7057E3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D4EB99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E95382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2269F9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008BA9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E959F9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F7CD3D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A4E8B62">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7E68D9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DB62CD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CEDD6F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20BE08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9F70F6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998C55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ED8AB0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4A708D2">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B72175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3BC623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1F9E38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6848CC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8E0833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EC905E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528E64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BC9BA2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96906C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80B2E2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08AB66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8F885A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B806B1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7209C5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1C5D54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844A1BC">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82F37F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677D50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894982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CDEFE1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440C47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16D616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C009B9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E261D9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87EBBA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27F501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B1CC9E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38D8325">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1EAA23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002249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3D6A21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D790BE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D94C51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72962F4">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2AB3A5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45339D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7F6E1F9">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B535CC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D0468D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5D0FAA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AFB953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0BF0CC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08A58D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04EFC87">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A97C5A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678783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B35569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FF94AA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18C3AD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29D3D1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7E2F9AAA">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E6E66C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B1F6CFF">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3EDE2B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8AB238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F9C509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A6399A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2BFB77C0">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44EF630D">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9E44A4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1CD661DE">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2BE0EE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62103AB">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0BC06633">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4225C81">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6B54FE16">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C7DD188">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3BC016C2">
      <w:pPr>
        <w:pStyle w:val="20"/>
        <w:keepNext w:val="0"/>
        <w:keepLines w:val="0"/>
        <w:pageBreakBefore w:val="0"/>
        <w:widowControl/>
        <w:kinsoku/>
        <w:wordWrap/>
        <w:overflowPunct/>
        <w:topLinePunct w:val="0"/>
        <w:autoSpaceDE/>
        <w:autoSpaceDN/>
        <w:bidi w:val="0"/>
        <w:adjustRightInd w:val="0"/>
        <w:snapToGrid w:val="0"/>
        <w:spacing w:line="100" w:lineRule="exact"/>
        <w:ind w:left="0" w:leftChars="0" w:firstLine="0" w:firstLineChars="0"/>
        <w:textAlignment w:val="auto"/>
        <w:rPr>
          <w:rFonts w:hint="eastAsia"/>
          <w:color w:val="auto"/>
          <w:lang w:val="de-DE"/>
        </w:rPr>
      </w:pPr>
    </w:p>
    <w:p w14:paraId="5095D1DA">
      <w:pPr>
        <w:pBdr>
          <w:top w:val="single" w:color="auto" w:sz="4" w:space="1"/>
          <w:bottom w:val="single" w:color="auto" w:sz="4" w:space="1"/>
        </w:pBdr>
        <w:spacing w:line="560" w:lineRule="exact"/>
        <w:rPr>
          <w:rFonts w:hint="eastAsia" w:ascii="仿宋_GB2312" w:hAnsi="仿宋" w:eastAsia="仿宋_GB2312" w:cs="仿宋"/>
          <w:sz w:val="28"/>
          <w:szCs w:val="28"/>
        </w:rPr>
      </w:pPr>
      <w:r>
        <w:rPr>
          <w:rFonts w:hint="eastAsia" w:ascii="仿宋_GB2312" w:hAnsi="黑体" w:eastAsia="仿宋_GB2312" w:cs="黑体"/>
          <w:sz w:val="28"/>
          <w:szCs w:val="28"/>
        </w:rPr>
        <w:t>抄送：</w:t>
      </w:r>
      <w:r>
        <w:rPr>
          <w:rFonts w:hint="eastAsia" w:ascii="仿宋_GB2312" w:hAnsi="仿宋" w:eastAsia="仿宋_GB2312" w:cs="仿宋"/>
          <w:sz w:val="28"/>
          <w:szCs w:val="28"/>
        </w:rPr>
        <w:t>常德市生态环境局</w:t>
      </w:r>
      <w:r>
        <w:rPr>
          <w:rFonts w:hint="eastAsia" w:ascii="仿宋_GB2312" w:hAnsi="仿宋" w:eastAsia="仿宋_GB2312" w:cs="仿宋"/>
          <w:sz w:val="28"/>
          <w:szCs w:val="28"/>
          <w:lang w:val="en-US" w:eastAsia="zh-CN"/>
        </w:rPr>
        <w:t>汉寿</w:t>
      </w:r>
      <w:r>
        <w:rPr>
          <w:rFonts w:hint="eastAsia" w:ascii="仿宋_GB2312" w:hAnsi="仿宋" w:eastAsia="仿宋_GB2312" w:cs="仿宋"/>
          <w:sz w:val="28"/>
          <w:szCs w:val="28"/>
        </w:rPr>
        <w:t>分局、湖南</w:t>
      </w:r>
      <w:r>
        <w:rPr>
          <w:rFonts w:hint="eastAsia" w:ascii="仿宋_GB2312" w:hAnsi="仿宋" w:eastAsia="仿宋_GB2312" w:cs="仿宋"/>
          <w:sz w:val="28"/>
          <w:szCs w:val="28"/>
          <w:lang w:val="en-US" w:eastAsia="zh-CN"/>
        </w:rPr>
        <w:t>葆华环保</w:t>
      </w:r>
      <w:r>
        <w:rPr>
          <w:rFonts w:hint="eastAsia" w:ascii="仿宋_GB2312" w:hAnsi="仿宋" w:eastAsia="仿宋_GB2312" w:cs="仿宋"/>
          <w:sz w:val="28"/>
          <w:szCs w:val="28"/>
        </w:rPr>
        <w:t>有限公司</w:t>
      </w:r>
    </w:p>
    <w:sectPr>
      <w:footerReference r:id="rId3" w:type="default"/>
      <w:footerReference r:id="rId4" w:type="even"/>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E79677-64B9-4200-9DB2-58C86B3B776D}"/>
  </w:font>
  <w:font w:name="黑体">
    <w:panose1 w:val="02010609060101010101"/>
    <w:charset w:val="86"/>
    <w:family w:val="auto"/>
    <w:pitch w:val="default"/>
    <w:sig w:usb0="800002BF" w:usb1="38CF7CFA" w:usb2="00000016" w:usb3="00000000" w:csb0="00040001" w:csb1="00000000"/>
    <w:embedRegular r:id="rId2" w:fontKey="{AF1F5A37-7E24-4E2F-8102-DA03BB25A5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7240EE5-265D-4AC2-B52E-ECA06F6D57FE}"/>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42346356-50C1-4BC5-8591-192E2D132077}"/>
  </w:font>
  <w:font w:name="方正小标宋简体">
    <w:panose1 w:val="02000000000000000000"/>
    <w:charset w:val="86"/>
    <w:family w:val="script"/>
    <w:pitch w:val="default"/>
    <w:sig w:usb0="00000001" w:usb1="080E0000" w:usb2="00000000" w:usb3="00000000" w:csb0="00040000" w:csb1="00000000"/>
    <w:embedRegular r:id="rId5" w:fontKey="{ED7B737C-F5AB-4969-B4CE-6954F88F51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C688">
    <w:pPr>
      <w:pStyle w:val="11"/>
      <w:framePr w:wrap="around" w:vAnchor="text" w:hAnchor="margin" w:xAlign="outside" w:y="1"/>
      <w:rPr>
        <w:rStyle w:val="17"/>
      </w:rPr>
    </w:pPr>
    <w:r>
      <w:rPr>
        <w:rStyle w:val="17"/>
        <w:rFonts w:hint="eastAsia" w:ascii="宋体" w:hAnsi="宋体" w:eastAsia="宋体" w:cs="宋体"/>
        <w:sz w:val="28"/>
        <w:szCs w:val="28"/>
      </w:rPr>
      <w:fldChar w:fldCharType="begin"/>
    </w:r>
    <w:r>
      <w:rPr>
        <w:rStyle w:val="17"/>
        <w:rFonts w:hint="eastAsia" w:ascii="宋体" w:hAnsi="宋体" w:eastAsia="宋体" w:cs="宋体"/>
        <w:sz w:val="28"/>
        <w:szCs w:val="28"/>
      </w:rPr>
      <w:instrText xml:space="preserve">PAGE  </w:instrText>
    </w:r>
    <w:r>
      <w:rPr>
        <w:rStyle w:val="17"/>
        <w:rFonts w:hint="eastAsia" w:ascii="宋体" w:hAnsi="宋体" w:eastAsia="宋体" w:cs="宋体"/>
        <w:sz w:val="28"/>
        <w:szCs w:val="28"/>
      </w:rPr>
      <w:fldChar w:fldCharType="separate"/>
    </w:r>
    <w:r>
      <w:rPr>
        <w:rStyle w:val="17"/>
        <w:rFonts w:hint="eastAsia" w:ascii="宋体" w:hAnsi="宋体" w:eastAsia="宋体" w:cs="宋体"/>
        <w:sz w:val="28"/>
        <w:szCs w:val="28"/>
      </w:rPr>
      <w:t>- 3 -</w:t>
    </w:r>
    <w:r>
      <w:rPr>
        <w:rStyle w:val="17"/>
        <w:rFonts w:hint="eastAsia" w:ascii="宋体" w:hAnsi="宋体" w:eastAsia="宋体" w:cs="宋体"/>
        <w:sz w:val="28"/>
        <w:szCs w:val="28"/>
      </w:rPr>
      <w:fldChar w:fldCharType="end"/>
    </w:r>
  </w:p>
  <w:p w14:paraId="38B6FF96">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3E3E">
    <w:pPr>
      <w:pStyle w:val="11"/>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14:paraId="098AD8DA">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mRiOWU0YTUxMDc4YTA5NzNmZTQ5NTViYTU5ZGUifQ=="/>
  </w:docVars>
  <w:rsids>
    <w:rsidRoot w:val="004C3807"/>
    <w:rsid w:val="00052B72"/>
    <w:rsid w:val="001643DB"/>
    <w:rsid w:val="0024268E"/>
    <w:rsid w:val="00256BE7"/>
    <w:rsid w:val="00294C82"/>
    <w:rsid w:val="002F4BC5"/>
    <w:rsid w:val="00367CA3"/>
    <w:rsid w:val="003B2CB4"/>
    <w:rsid w:val="003B7465"/>
    <w:rsid w:val="004338BE"/>
    <w:rsid w:val="00474B02"/>
    <w:rsid w:val="00494704"/>
    <w:rsid w:val="004C3807"/>
    <w:rsid w:val="00520ABA"/>
    <w:rsid w:val="0055308C"/>
    <w:rsid w:val="007F0D6F"/>
    <w:rsid w:val="00954B07"/>
    <w:rsid w:val="00980215"/>
    <w:rsid w:val="009D52F8"/>
    <w:rsid w:val="009F1E91"/>
    <w:rsid w:val="00A053AF"/>
    <w:rsid w:val="00AA67D1"/>
    <w:rsid w:val="00B26FE0"/>
    <w:rsid w:val="00B4606A"/>
    <w:rsid w:val="00BB4A01"/>
    <w:rsid w:val="00BC2411"/>
    <w:rsid w:val="00C1670E"/>
    <w:rsid w:val="00C64152"/>
    <w:rsid w:val="00D07058"/>
    <w:rsid w:val="00D44E2E"/>
    <w:rsid w:val="00D81985"/>
    <w:rsid w:val="00DC7C66"/>
    <w:rsid w:val="00ED4B49"/>
    <w:rsid w:val="00EE25C6"/>
    <w:rsid w:val="00EE45FE"/>
    <w:rsid w:val="00FE48CE"/>
    <w:rsid w:val="019D2E17"/>
    <w:rsid w:val="0471197A"/>
    <w:rsid w:val="049B749C"/>
    <w:rsid w:val="04C17279"/>
    <w:rsid w:val="068D396D"/>
    <w:rsid w:val="085B5DA7"/>
    <w:rsid w:val="08805C64"/>
    <w:rsid w:val="092C1016"/>
    <w:rsid w:val="0B8E1003"/>
    <w:rsid w:val="0BBF7829"/>
    <w:rsid w:val="0E9B0A2A"/>
    <w:rsid w:val="1126110E"/>
    <w:rsid w:val="132C04A0"/>
    <w:rsid w:val="1389765F"/>
    <w:rsid w:val="14593115"/>
    <w:rsid w:val="151450B7"/>
    <w:rsid w:val="184B0995"/>
    <w:rsid w:val="1B410951"/>
    <w:rsid w:val="1F23128A"/>
    <w:rsid w:val="1F505606"/>
    <w:rsid w:val="22DB168B"/>
    <w:rsid w:val="243928EC"/>
    <w:rsid w:val="29C2251B"/>
    <w:rsid w:val="2E58221E"/>
    <w:rsid w:val="31487777"/>
    <w:rsid w:val="31F82F6C"/>
    <w:rsid w:val="35583FF8"/>
    <w:rsid w:val="388C54AA"/>
    <w:rsid w:val="39020885"/>
    <w:rsid w:val="390B0F12"/>
    <w:rsid w:val="3BE5048C"/>
    <w:rsid w:val="3C3B0C93"/>
    <w:rsid w:val="3D2350D0"/>
    <w:rsid w:val="3E960017"/>
    <w:rsid w:val="3F7430CF"/>
    <w:rsid w:val="430106B5"/>
    <w:rsid w:val="43FE4A9D"/>
    <w:rsid w:val="46F54F5C"/>
    <w:rsid w:val="471C1A20"/>
    <w:rsid w:val="4B923A9F"/>
    <w:rsid w:val="4C1635B0"/>
    <w:rsid w:val="4C47F0AA"/>
    <w:rsid w:val="51087240"/>
    <w:rsid w:val="515D57DD"/>
    <w:rsid w:val="52D80D7C"/>
    <w:rsid w:val="54DD1BEE"/>
    <w:rsid w:val="55401D6C"/>
    <w:rsid w:val="56BF010F"/>
    <w:rsid w:val="57E656DA"/>
    <w:rsid w:val="58794B99"/>
    <w:rsid w:val="58941929"/>
    <w:rsid w:val="58BD3CAD"/>
    <w:rsid w:val="5A4B21CC"/>
    <w:rsid w:val="5E23390B"/>
    <w:rsid w:val="61C34958"/>
    <w:rsid w:val="61DF3A9F"/>
    <w:rsid w:val="63D27752"/>
    <w:rsid w:val="65283AEE"/>
    <w:rsid w:val="690278D7"/>
    <w:rsid w:val="69A749A9"/>
    <w:rsid w:val="6AA50A05"/>
    <w:rsid w:val="6B1220D6"/>
    <w:rsid w:val="6B1453A3"/>
    <w:rsid w:val="6C8308EA"/>
    <w:rsid w:val="70C97788"/>
    <w:rsid w:val="717B6032"/>
    <w:rsid w:val="71AF7042"/>
    <w:rsid w:val="73616252"/>
    <w:rsid w:val="76F96259"/>
    <w:rsid w:val="7BBA5457"/>
    <w:rsid w:val="7D046C66"/>
    <w:rsid w:val="7FDF4661"/>
    <w:rsid w:val="7FE753AE"/>
    <w:rsid w:val="9CF7A121"/>
    <w:rsid w:val="D3F9BBC3"/>
    <w:rsid w:val="F5FD10FD"/>
    <w:rsid w:val="FF7FE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szCs w:val="20"/>
    </w:rPr>
  </w:style>
  <w:style w:type="paragraph" w:styleId="5">
    <w:name w:val="Body Text First Indent"/>
    <w:basedOn w:val="1"/>
    <w:qFormat/>
    <w:uiPriority w:val="0"/>
    <w:pPr>
      <w:spacing w:after="120"/>
      <w:ind w:firstLine="420" w:firstLineChars="100"/>
      <w:jc w:val="both"/>
    </w:pPr>
  </w:style>
  <w:style w:type="paragraph" w:styleId="6">
    <w:name w:val="Normal Indent"/>
    <w:basedOn w:val="1"/>
    <w:next w:val="1"/>
    <w:qFormat/>
    <w:uiPriority w:val="0"/>
    <w:pPr>
      <w:ind w:firstLine="420"/>
    </w:pPr>
    <w:rPr>
      <w:rFonts w:ascii="Calibri" w:hAnsi="Calibri"/>
      <w:szCs w:val="20"/>
    </w:rPr>
  </w:style>
  <w:style w:type="paragraph" w:styleId="7">
    <w:name w:val="Body Text"/>
    <w:basedOn w:val="1"/>
    <w:next w:val="8"/>
    <w:qFormat/>
    <w:uiPriority w:val="0"/>
    <w:rPr>
      <w:rFonts w:ascii="仿宋" w:hAnsi="仿宋" w:eastAsia="仿宋" w:cs="仿宋"/>
      <w:sz w:val="31"/>
      <w:szCs w:val="31"/>
      <w:lang w:eastAsia="en-US"/>
    </w:rPr>
  </w:style>
  <w:style w:type="paragraph" w:customStyle="1" w:styleId="8">
    <w:name w:val="xl27"/>
    <w:basedOn w:val="1"/>
    <w:next w:val="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9">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10">
    <w:name w:val="Plain Text"/>
    <w:basedOn w:val="1"/>
    <w:next w:val="1"/>
    <w:qFormat/>
    <w:uiPriority w:val="0"/>
    <w:pPr>
      <w:tabs>
        <w:tab w:val="left" w:pos="7380"/>
      </w:tabs>
      <w:spacing w:line="400" w:lineRule="exact"/>
      <w:jc w:val="center"/>
    </w:pPr>
    <w:rPr>
      <w:color w:val="000000"/>
      <w:kern w:val="21"/>
      <w:sz w:val="24"/>
      <w:szCs w:val="20"/>
      <w:lang w:val="de-DE"/>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Body Text 2"/>
    <w:basedOn w:val="1"/>
    <w:next w:val="7"/>
    <w:link w:val="18"/>
    <w:qFormat/>
    <w:uiPriority w:val="0"/>
    <w:pPr>
      <w:spacing w:after="120" w:line="480" w:lineRule="auto"/>
    </w:pPr>
  </w:style>
  <w:style w:type="character" w:styleId="17">
    <w:name w:val="page number"/>
    <w:basedOn w:val="16"/>
    <w:qFormat/>
    <w:uiPriority w:val="0"/>
  </w:style>
  <w:style w:type="character" w:customStyle="1" w:styleId="18">
    <w:name w:val="正文文本 2 字符"/>
    <w:link w:val="14"/>
    <w:qFormat/>
    <w:uiPriority w:val="0"/>
  </w:style>
  <w:style w:type="paragraph" w:customStyle="1" w:styleId="19">
    <w:name w:val="（正文）"/>
    <w:basedOn w:val="10"/>
    <w:next w:val="20"/>
    <w:qFormat/>
    <w:uiPriority w:val="0"/>
    <w:pPr>
      <w:spacing w:line="360" w:lineRule="auto"/>
      <w:ind w:firstLine="480"/>
    </w:pPr>
    <w:rPr>
      <w:rFonts w:ascii="仿宋" w:hAnsi="仿宋" w:eastAsia="仿宋" w:cs="仿宋"/>
    </w:rPr>
  </w:style>
  <w:style w:type="paragraph" w:customStyle="1" w:styleId="20">
    <w:name w:val="_正文"/>
    <w:qFormat/>
    <w:uiPriority w:val="0"/>
    <w:pPr>
      <w:spacing w:line="360" w:lineRule="auto"/>
      <w:ind w:firstLine="560" w:firstLineChars="200"/>
      <w:jc w:val="both"/>
    </w:pPr>
    <w:rPr>
      <w:rFonts w:ascii="宋体" w:hAnsi="宋体" w:eastAsia="宋体" w:cs="Times New Roman"/>
      <w:bCs/>
      <w:iCs/>
      <w:snapToGrid w:val="0"/>
      <w:color w:val="000000"/>
      <w:kern w:val="2"/>
      <w:sz w:val="28"/>
      <w:szCs w:val="28"/>
      <w:lang w:val="en-US" w:eastAsia="zh-CN" w:bidi="ar-SA"/>
    </w:rPr>
  </w:style>
  <w:style w:type="character" w:customStyle="1" w:styleId="21">
    <w:name w:val="页眉 字符"/>
    <w:basedOn w:val="16"/>
    <w:link w:val="12"/>
    <w:qFormat/>
    <w:uiPriority w:val="0"/>
    <w:rPr>
      <w:rFonts w:ascii="Times New Roman" w:hAnsi="Times New Roman"/>
      <w:kern w:val="2"/>
      <w:sz w:val="18"/>
      <w:szCs w:val="18"/>
    </w:rPr>
  </w:style>
  <w:style w:type="paragraph" w:customStyle="1" w:styleId="22">
    <w:name w:val="Body text|1"/>
    <w:basedOn w:val="1"/>
    <w:qFormat/>
    <w:uiPriority w:val="0"/>
    <w:pPr>
      <w:widowControl w:val="0"/>
      <w:shd w:val="clear" w:color="auto" w:fill="auto"/>
      <w:spacing w:line="408"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2488</Words>
  <Characters>2632</Characters>
  <Lines>16</Lines>
  <Paragraphs>4</Paragraphs>
  <TotalTime>69</TotalTime>
  <ScaleCrop>false</ScaleCrop>
  <LinksUpToDate>false</LinksUpToDate>
  <CharactersWithSpaces>2632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Administrator.WQ-20151220QFPQ</dc:creator>
  <cp:lastModifiedBy>曼施泰因</cp:lastModifiedBy>
  <cp:lastPrinted>2025-07-24T16:15:00Z</cp:lastPrinted>
  <dcterms:modified xsi:type="dcterms:W3CDTF">2025-12-30T13:12:43Z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5A95589F4CA64AAF8D03DCFFA3D9495F_13</vt:lpwstr>
  </property>
  <property fmtid="{D5CDD505-2E9C-101B-9397-08002B2CF9AE}" pid="4" name="KSOTemplateDocerSaveRecord">
    <vt:lpwstr>eyJoZGlkIjoiMjdjODFhMDIzOWJhNmU0OGNjZTQ1NTdhYTE4ZjBjZDgiLCJ1c2VySWQiOiIyNzA0MDE4ODkifQ==</vt:lpwstr>
  </property>
</Properties>
</file>