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EAB4" w14:textId="77777777" w:rsidR="007B3F4F" w:rsidRDefault="00000000">
      <w:pPr>
        <w:pStyle w:val="a0"/>
        <w:spacing w:before="1160" w:after="0" w:line="560" w:lineRule="exact"/>
        <w:jc w:val="right"/>
        <w:rPr>
          <w:rFonts w:ascii="仿宋_GB2312" w:eastAsia="仿宋_GB2312"/>
        </w:rPr>
      </w:pPr>
      <w:r>
        <w:rPr>
          <w:rFonts w:ascii="仿宋_GB2312" w:eastAsia="仿宋_GB2312" w:hAnsi="仿宋" w:hint="eastAsia"/>
          <w:sz w:val="32"/>
          <w:szCs w:val="32"/>
        </w:rPr>
        <w:t>常环建〔2025〕83号</w:t>
      </w:r>
    </w:p>
    <w:p w14:paraId="20D8A787" w14:textId="77777777" w:rsidR="007B3F4F" w:rsidRDefault="007B3F4F">
      <w:pPr>
        <w:tabs>
          <w:tab w:val="left" w:pos="1021"/>
        </w:tabs>
        <w:spacing w:after="0" w:line="560" w:lineRule="exact"/>
        <w:jc w:val="center"/>
        <w:rPr>
          <w:rFonts w:ascii="方正小标宋简体" w:eastAsia="方正小标宋简体" w:hAnsiTheme="majorEastAsia" w:hint="eastAsia"/>
          <w:sz w:val="44"/>
          <w:szCs w:val="44"/>
        </w:rPr>
      </w:pPr>
    </w:p>
    <w:p w14:paraId="329F98FF" w14:textId="77777777" w:rsidR="007B3F4F"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常德市生态环境局</w:t>
      </w:r>
    </w:p>
    <w:p w14:paraId="2FBD4CE6" w14:textId="77777777" w:rsidR="007B3F4F"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关于国化（津市）建设投资有限公司津市绿色新材料产业园一期津市生物制造“加速工厂”建设项目环境影响报告书的批复</w:t>
      </w:r>
    </w:p>
    <w:p w14:paraId="0C3BDA5E" w14:textId="77777777" w:rsidR="007B3F4F" w:rsidRDefault="007B3F4F">
      <w:pPr>
        <w:spacing w:after="0" w:line="560" w:lineRule="exact"/>
        <w:jc w:val="both"/>
        <w:rPr>
          <w:rFonts w:ascii="仿宋" w:eastAsia="仿宋" w:hAnsi="仿宋" w:hint="eastAsia"/>
          <w:kern w:val="2"/>
          <w:sz w:val="32"/>
          <w:szCs w:val="32"/>
        </w:rPr>
      </w:pPr>
    </w:p>
    <w:p w14:paraId="6F34EE36" w14:textId="77777777" w:rsidR="007B3F4F" w:rsidRDefault="00000000">
      <w:pPr>
        <w:widowControl w:val="0"/>
        <w:spacing w:after="0" w:line="560" w:lineRule="exact"/>
        <w:jc w:val="both"/>
        <w:rPr>
          <w:rFonts w:ascii="仿宋_GB2312" w:eastAsia="仿宋_GB2312" w:hAnsi="仿宋" w:hint="eastAsia"/>
          <w:sz w:val="32"/>
          <w:szCs w:val="32"/>
        </w:rPr>
      </w:pPr>
      <w:r>
        <w:rPr>
          <w:rFonts w:ascii="仿宋_GB2312" w:eastAsia="仿宋_GB2312" w:hAnsi="仿宋" w:hint="eastAsia"/>
          <w:sz w:val="32"/>
          <w:szCs w:val="32"/>
        </w:rPr>
        <w:t>国化（津市）建设投资有限公司：</w:t>
      </w:r>
    </w:p>
    <w:p w14:paraId="5CA371F2" w14:textId="77777777" w:rsidR="007B3F4F"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你公司提交的《津市绿色新材料产业园一期津市生物制造“加速工厂”建设项目环境影响报告书》（以下简称“报告书”）和《关于申请对〈津市绿色新材料产业园一期津市生物制造“加速工厂”建设项目环境影响报告书〉进行审批的请示》及相关资料收悉，根据《报告书》专家审查意见、常德市生态环境局津市分局对《报告书》的预审意见、津市</w:t>
      </w:r>
      <w:proofErr w:type="gramStart"/>
      <w:r>
        <w:rPr>
          <w:rFonts w:ascii="仿宋_GB2312" w:eastAsia="仿宋_GB2312" w:hAnsi="仿宋" w:hint="eastAsia"/>
          <w:kern w:val="2"/>
          <w:sz w:val="32"/>
          <w:szCs w:val="32"/>
        </w:rPr>
        <w:t>市</w:t>
      </w:r>
      <w:proofErr w:type="gramEnd"/>
      <w:r>
        <w:rPr>
          <w:rFonts w:ascii="仿宋_GB2312" w:eastAsia="仿宋_GB2312" w:hAnsi="仿宋" w:hint="eastAsia"/>
          <w:kern w:val="2"/>
          <w:sz w:val="32"/>
          <w:szCs w:val="32"/>
        </w:rPr>
        <w:t>发展和</w:t>
      </w:r>
      <w:proofErr w:type="gramStart"/>
      <w:r>
        <w:rPr>
          <w:rFonts w:ascii="仿宋_GB2312" w:eastAsia="仿宋_GB2312" w:hAnsi="仿宋" w:hint="eastAsia"/>
          <w:kern w:val="2"/>
          <w:sz w:val="32"/>
          <w:szCs w:val="32"/>
        </w:rPr>
        <w:t>改革局</w:t>
      </w:r>
      <w:proofErr w:type="gramEnd"/>
      <w:r>
        <w:rPr>
          <w:rFonts w:ascii="仿宋_GB2312" w:eastAsia="仿宋_GB2312" w:hAnsi="仿宋" w:hint="eastAsia"/>
          <w:kern w:val="2"/>
          <w:sz w:val="32"/>
          <w:szCs w:val="32"/>
        </w:rPr>
        <w:t>出具的《关于津市绿色新材料产业园一期津市生物制造“加速工厂”建设项目备案证明》（项目编码：2209-430781-04-01-988664-0022）及《报告书》网上公示期间未收到反馈意见的情况。经研究，批复如下：</w:t>
      </w:r>
    </w:p>
    <w:p w14:paraId="05573326" w14:textId="77777777" w:rsidR="007B3F4F"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一、基本情况及总体意见</w:t>
      </w:r>
    </w:p>
    <w:p w14:paraId="7D51F14C" w14:textId="77777777" w:rsidR="007B3F4F"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项目地址位于湖南省常德市津市高新技术产业开发区,厂区地理中心坐标东经111度</w:t>
      </w:r>
      <w:r>
        <w:rPr>
          <w:rFonts w:ascii="仿宋_GB2312" w:eastAsia="仿宋_GB2312" w:hAnsi="仿宋"/>
          <w:kern w:val="2"/>
          <w:sz w:val="32"/>
          <w:szCs w:val="32"/>
        </w:rPr>
        <w:t>50</w:t>
      </w:r>
      <w:r>
        <w:rPr>
          <w:rFonts w:ascii="仿宋_GB2312" w:eastAsia="仿宋_GB2312" w:hAnsi="仿宋" w:hint="eastAsia"/>
          <w:kern w:val="2"/>
          <w:sz w:val="32"/>
          <w:szCs w:val="32"/>
        </w:rPr>
        <w:t>分</w:t>
      </w:r>
      <w:r>
        <w:rPr>
          <w:rFonts w:ascii="仿宋_GB2312" w:eastAsia="仿宋_GB2312" w:hAnsi="仿宋"/>
          <w:kern w:val="2"/>
          <w:sz w:val="32"/>
          <w:szCs w:val="32"/>
        </w:rPr>
        <w:t>7</w:t>
      </w:r>
      <w:r>
        <w:rPr>
          <w:rFonts w:ascii="仿宋_GB2312" w:eastAsia="仿宋_GB2312" w:hAnsi="仿宋" w:hint="eastAsia"/>
          <w:kern w:val="2"/>
          <w:sz w:val="32"/>
          <w:szCs w:val="32"/>
        </w:rPr>
        <w:t>.</w:t>
      </w:r>
      <w:r>
        <w:rPr>
          <w:rFonts w:ascii="仿宋_GB2312" w:eastAsia="仿宋_GB2312" w:hAnsi="仿宋"/>
          <w:kern w:val="2"/>
          <w:sz w:val="32"/>
          <w:szCs w:val="32"/>
        </w:rPr>
        <w:t>753</w:t>
      </w:r>
      <w:r>
        <w:rPr>
          <w:rFonts w:ascii="仿宋_GB2312" w:eastAsia="仿宋_GB2312" w:hAnsi="仿宋" w:hint="eastAsia"/>
          <w:kern w:val="2"/>
          <w:sz w:val="32"/>
          <w:szCs w:val="32"/>
        </w:rPr>
        <w:t>秒，北纬29度</w:t>
      </w:r>
      <w:r>
        <w:rPr>
          <w:rFonts w:ascii="仿宋_GB2312" w:eastAsia="仿宋_GB2312" w:hAnsi="仿宋"/>
          <w:kern w:val="2"/>
          <w:sz w:val="32"/>
          <w:szCs w:val="32"/>
        </w:rPr>
        <w:t>34</w:t>
      </w:r>
      <w:r>
        <w:rPr>
          <w:rFonts w:ascii="仿宋_GB2312" w:eastAsia="仿宋_GB2312" w:hAnsi="仿宋" w:hint="eastAsia"/>
          <w:kern w:val="2"/>
          <w:sz w:val="32"/>
          <w:szCs w:val="32"/>
        </w:rPr>
        <w:t>分3.4</w:t>
      </w:r>
      <w:r>
        <w:rPr>
          <w:rFonts w:ascii="仿宋_GB2312" w:eastAsia="仿宋_GB2312" w:hAnsi="仿宋"/>
          <w:kern w:val="2"/>
          <w:sz w:val="32"/>
          <w:szCs w:val="32"/>
        </w:rPr>
        <w:t>79</w:t>
      </w:r>
      <w:r>
        <w:rPr>
          <w:rFonts w:ascii="仿宋_GB2312" w:eastAsia="仿宋_GB2312" w:hAnsi="仿宋" w:hint="eastAsia"/>
          <w:kern w:val="2"/>
          <w:sz w:val="32"/>
          <w:szCs w:val="32"/>
        </w:rPr>
        <w:lastRenderedPageBreak/>
        <w:t>秒)。项目总占地面积225219.79m</w:t>
      </w:r>
      <w:r>
        <w:rPr>
          <w:rFonts w:ascii="仿宋_GB2312" w:eastAsia="仿宋_GB2312" w:hAnsi="仿宋" w:hint="eastAsia"/>
          <w:kern w:val="2"/>
          <w:sz w:val="32"/>
          <w:szCs w:val="32"/>
          <w:vertAlign w:val="superscript"/>
        </w:rPr>
        <w:t>2</w:t>
      </w:r>
      <w:r>
        <w:rPr>
          <w:rFonts w:ascii="仿宋_GB2312" w:eastAsia="仿宋_GB2312" w:hAnsi="仿宋" w:hint="eastAsia"/>
          <w:kern w:val="2"/>
          <w:sz w:val="32"/>
          <w:szCs w:val="32"/>
        </w:rPr>
        <w:t>，其中东厂区占地面积118378.08m</w:t>
      </w:r>
      <w:r>
        <w:rPr>
          <w:rFonts w:ascii="仿宋_GB2312" w:eastAsia="仿宋_GB2312" w:hAnsi="仿宋" w:hint="eastAsia"/>
          <w:kern w:val="2"/>
          <w:sz w:val="32"/>
          <w:szCs w:val="32"/>
          <w:vertAlign w:val="superscript"/>
        </w:rPr>
        <w:t>2</w:t>
      </w:r>
      <w:r>
        <w:rPr>
          <w:rFonts w:ascii="仿宋_GB2312" w:eastAsia="仿宋_GB2312" w:hAnsi="仿宋" w:hint="eastAsia"/>
          <w:kern w:val="2"/>
          <w:sz w:val="32"/>
          <w:szCs w:val="32"/>
        </w:rPr>
        <w:t>，西厂区占地面积106841.71m</w:t>
      </w:r>
      <w:r>
        <w:rPr>
          <w:rFonts w:ascii="仿宋_GB2312" w:eastAsia="仿宋_GB2312" w:hAnsi="仿宋" w:hint="eastAsia"/>
          <w:kern w:val="2"/>
          <w:sz w:val="32"/>
          <w:szCs w:val="32"/>
          <w:vertAlign w:val="superscript"/>
        </w:rPr>
        <w:t>2</w:t>
      </w:r>
      <w:r>
        <w:rPr>
          <w:rFonts w:ascii="仿宋_GB2312" w:eastAsia="仿宋_GB2312" w:hAnsi="仿宋" w:hint="eastAsia"/>
          <w:kern w:val="2"/>
          <w:sz w:val="32"/>
          <w:szCs w:val="32"/>
        </w:rPr>
        <w:t>。项目主要建设10</w:t>
      </w:r>
      <w:proofErr w:type="gramStart"/>
      <w:r>
        <w:rPr>
          <w:rFonts w:ascii="仿宋_GB2312" w:eastAsia="仿宋_GB2312" w:hAnsi="仿宋" w:hint="eastAsia"/>
          <w:kern w:val="2"/>
          <w:sz w:val="32"/>
          <w:szCs w:val="32"/>
        </w:rPr>
        <w:t>座标</w:t>
      </w:r>
      <w:proofErr w:type="gramEnd"/>
      <w:r>
        <w:rPr>
          <w:rFonts w:ascii="仿宋_GB2312" w:eastAsia="仿宋_GB2312" w:hAnsi="仿宋" w:hint="eastAsia"/>
          <w:kern w:val="2"/>
          <w:sz w:val="32"/>
          <w:szCs w:val="32"/>
        </w:rPr>
        <w:t>准厂房、10座丙类仓库、2座甲类仓库、10个储罐（2个60m</w:t>
      </w:r>
      <w:r>
        <w:rPr>
          <w:rFonts w:ascii="仿宋_GB2312" w:eastAsia="仿宋_GB2312" w:hAnsi="仿宋" w:hint="eastAsia"/>
          <w:kern w:val="2"/>
          <w:sz w:val="32"/>
          <w:szCs w:val="32"/>
          <w:vertAlign w:val="superscript"/>
        </w:rPr>
        <w:t>3</w:t>
      </w:r>
      <w:r>
        <w:rPr>
          <w:rFonts w:ascii="仿宋_GB2312" w:eastAsia="仿宋_GB2312" w:hAnsi="仿宋" w:hint="eastAsia"/>
          <w:kern w:val="2"/>
          <w:sz w:val="32"/>
          <w:szCs w:val="32"/>
        </w:rPr>
        <w:t>氨水罐、2个100m</w:t>
      </w:r>
      <w:r>
        <w:rPr>
          <w:rFonts w:ascii="仿宋_GB2312" w:eastAsia="仿宋_GB2312" w:hAnsi="仿宋" w:hint="eastAsia"/>
          <w:kern w:val="2"/>
          <w:sz w:val="32"/>
          <w:szCs w:val="32"/>
          <w:vertAlign w:val="superscript"/>
        </w:rPr>
        <w:t>3</w:t>
      </w:r>
      <w:r>
        <w:rPr>
          <w:rFonts w:ascii="仿宋_GB2312" w:eastAsia="仿宋_GB2312" w:hAnsi="仿宋" w:hint="eastAsia"/>
          <w:kern w:val="2"/>
          <w:sz w:val="32"/>
          <w:szCs w:val="32"/>
        </w:rPr>
        <w:t>甲醇罐、2个100m</w:t>
      </w:r>
      <w:r>
        <w:rPr>
          <w:rFonts w:ascii="仿宋_GB2312" w:eastAsia="仿宋_GB2312" w:hAnsi="仿宋" w:hint="eastAsia"/>
          <w:kern w:val="2"/>
          <w:sz w:val="32"/>
          <w:szCs w:val="32"/>
          <w:vertAlign w:val="superscript"/>
        </w:rPr>
        <w:t>3</w:t>
      </w:r>
      <w:r>
        <w:rPr>
          <w:rFonts w:ascii="仿宋_GB2312" w:eastAsia="仿宋_GB2312" w:hAnsi="仿宋" w:hint="eastAsia"/>
          <w:kern w:val="2"/>
          <w:sz w:val="32"/>
          <w:szCs w:val="32"/>
        </w:rPr>
        <w:t>乙醇罐、2个300m</w:t>
      </w:r>
      <w:r>
        <w:rPr>
          <w:rFonts w:ascii="仿宋_GB2312" w:eastAsia="仿宋_GB2312" w:hAnsi="仿宋" w:hint="eastAsia"/>
          <w:kern w:val="2"/>
          <w:sz w:val="32"/>
          <w:szCs w:val="32"/>
          <w:vertAlign w:val="superscript"/>
        </w:rPr>
        <w:t>3</w:t>
      </w:r>
      <w:r>
        <w:rPr>
          <w:rFonts w:ascii="仿宋_GB2312" w:eastAsia="仿宋_GB2312" w:hAnsi="仿宋" w:hint="eastAsia"/>
          <w:kern w:val="2"/>
          <w:sz w:val="32"/>
          <w:szCs w:val="32"/>
        </w:rPr>
        <w:t>液碱罐）、污水处理站（近期建设规模500m</w:t>
      </w:r>
      <w:r>
        <w:rPr>
          <w:rFonts w:ascii="仿宋_GB2312" w:eastAsia="仿宋_GB2312" w:hAnsi="仿宋" w:hint="eastAsia"/>
          <w:kern w:val="2"/>
          <w:sz w:val="32"/>
          <w:szCs w:val="32"/>
          <w:vertAlign w:val="superscript"/>
        </w:rPr>
        <w:t>3</w:t>
      </w:r>
      <w:r>
        <w:rPr>
          <w:rFonts w:ascii="仿宋_GB2312" w:eastAsia="仿宋_GB2312" w:hAnsi="仿宋" w:hint="eastAsia"/>
          <w:kern w:val="2"/>
          <w:sz w:val="32"/>
          <w:szCs w:val="32"/>
        </w:rPr>
        <w:t>/d，远期增加750m</w:t>
      </w:r>
      <w:r>
        <w:rPr>
          <w:rFonts w:ascii="仿宋_GB2312" w:eastAsia="仿宋_GB2312" w:hAnsi="仿宋" w:hint="eastAsia"/>
          <w:kern w:val="2"/>
          <w:sz w:val="32"/>
          <w:szCs w:val="32"/>
          <w:vertAlign w:val="superscript"/>
        </w:rPr>
        <w:t>3</w:t>
      </w:r>
      <w:r>
        <w:rPr>
          <w:rFonts w:ascii="仿宋_GB2312" w:eastAsia="仿宋_GB2312" w:hAnsi="仿宋" w:hint="eastAsia"/>
          <w:kern w:val="2"/>
          <w:sz w:val="32"/>
          <w:szCs w:val="32"/>
        </w:rPr>
        <w:t>/d）、综合楼、配套用房，项目同时设置循环水站、初期雨水池、应急水池、空压站、纯水系统等辅助生产工程。项目总投资55798.48万元，其中环保投资1326万元，占总投资的2.38%。</w:t>
      </w:r>
    </w:p>
    <w:p w14:paraId="4BA2EF2A" w14:textId="77777777" w:rsidR="007B3F4F"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根据《报告书》结论、专家审查意见及常德市生态环境局津市分局的预审意见，项目符合国家产业政策以及相关规划要求，符合生态环境分区</w:t>
      </w:r>
      <w:proofErr w:type="gramStart"/>
      <w:r>
        <w:rPr>
          <w:rFonts w:ascii="仿宋_GB2312" w:eastAsia="仿宋_GB2312" w:hAnsi="仿宋" w:hint="eastAsia"/>
          <w:kern w:val="2"/>
          <w:sz w:val="32"/>
          <w:szCs w:val="32"/>
        </w:rPr>
        <w:t>管控及生态环境</w:t>
      </w:r>
      <w:proofErr w:type="gramEnd"/>
      <w:r>
        <w:rPr>
          <w:rFonts w:ascii="仿宋_GB2312" w:eastAsia="仿宋_GB2312" w:hAnsi="仿宋" w:hint="eastAsia"/>
          <w:kern w:val="2"/>
          <w:sz w:val="32"/>
          <w:szCs w:val="32"/>
        </w:rPr>
        <w:t>准入清单要求，在全面落实《报告书》及批复提出的各项污染防治措施、环境风险防范措施、确保各项污染物稳定达标排放的前提下，从环境保护角度我局原则同意项目建设。</w:t>
      </w:r>
    </w:p>
    <w:p w14:paraId="44BDF028" w14:textId="77777777" w:rsidR="007B3F4F" w:rsidRDefault="00000000">
      <w:pPr>
        <w:widowControl w:val="0"/>
        <w:spacing w:after="0" w:line="560" w:lineRule="exact"/>
        <w:ind w:firstLineChars="200" w:firstLine="640"/>
        <w:jc w:val="both"/>
      </w:pPr>
      <w:r>
        <w:rPr>
          <w:rFonts w:ascii="仿宋_GB2312" w:eastAsia="仿宋_GB2312" w:hAnsi="仿宋" w:hint="eastAsia"/>
          <w:kern w:val="2"/>
          <w:sz w:val="32"/>
          <w:szCs w:val="32"/>
        </w:rPr>
        <w:t>二、项目在建设和营运生产过程中，须严格落实《报告书》提出的各项污染防治措施，着重做好以下工作：</w:t>
      </w:r>
    </w:p>
    <w:p w14:paraId="45B2F676" w14:textId="77777777" w:rsidR="007B3F4F"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（一）加强施工期的环境管理。严格落实施工期各项污染防治措施，减小施工期</w:t>
      </w:r>
      <w:proofErr w:type="gramStart"/>
      <w:r>
        <w:rPr>
          <w:rFonts w:ascii="仿宋_GB2312" w:eastAsia="仿宋_GB2312" w:hAnsi="仿宋" w:hint="eastAsia"/>
          <w:kern w:val="2"/>
          <w:sz w:val="32"/>
          <w:szCs w:val="32"/>
        </w:rPr>
        <w:t>间施工</w:t>
      </w:r>
      <w:proofErr w:type="gramEnd"/>
      <w:r>
        <w:rPr>
          <w:rFonts w:ascii="仿宋_GB2312" w:eastAsia="仿宋_GB2312" w:hAnsi="仿宋" w:hint="eastAsia"/>
          <w:kern w:val="2"/>
          <w:sz w:val="32"/>
          <w:szCs w:val="32"/>
        </w:rPr>
        <w:t>噪声、废水、废气和固体废物等对周边环境造成的不利影响。加强施工期的水土保持工作，减小施工期水土流失。</w:t>
      </w:r>
    </w:p>
    <w:p w14:paraId="7DA5F517" w14:textId="77777777" w:rsidR="007B3F4F"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（二）严格落实水污染防治措施。项目严格按照雨污分流、清污分流、污</w:t>
      </w:r>
      <w:proofErr w:type="gramStart"/>
      <w:r>
        <w:rPr>
          <w:rFonts w:ascii="仿宋_GB2312" w:eastAsia="仿宋_GB2312" w:hAnsi="仿宋" w:hint="eastAsia"/>
          <w:kern w:val="2"/>
          <w:sz w:val="32"/>
          <w:szCs w:val="32"/>
        </w:rPr>
        <w:t>污</w:t>
      </w:r>
      <w:proofErr w:type="gramEnd"/>
      <w:r>
        <w:rPr>
          <w:rFonts w:ascii="仿宋_GB2312" w:eastAsia="仿宋_GB2312" w:hAnsi="仿宋" w:hint="eastAsia"/>
          <w:kern w:val="2"/>
          <w:sz w:val="32"/>
          <w:szCs w:val="32"/>
        </w:rPr>
        <w:t>分流的原则建设给排水、污水处理系统。项目</w:t>
      </w:r>
      <w:r>
        <w:rPr>
          <w:rFonts w:ascii="仿宋_GB2312" w:eastAsia="仿宋_GB2312" w:hAnsi="仿宋" w:hint="eastAsia"/>
          <w:kern w:val="2"/>
          <w:sz w:val="32"/>
          <w:szCs w:val="32"/>
        </w:rPr>
        <w:lastRenderedPageBreak/>
        <w:t>内部企业生产废水、生活污水经架空管，与初期雨水一并进入污水处理站，采用“格栅+均质调节池+混凝沉淀+IC塔+一级AAO+二级AO+芬顿氧化”处理工艺，处理的尾水满足《污水综合排放标准》（GB8978-1996）表4</w:t>
      </w:r>
      <w:proofErr w:type="gramStart"/>
      <w:r>
        <w:rPr>
          <w:rFonts w:ascii="仿宋_GB2312" w:eastAsia="仿宋_GB2312" w:hAnsi="仿宋" w:hint="eastAsia"/>
          <w:kern w:val="2"/>
          <w:sz w:val="32"/>
          <w:szCs w:val="32"/>
        </w:rPr>
        <w:t>三</w:t>
      </w:r>
      <w:proofErr w:type="gramEnd"/>
      <w:r>
        <w:rPr>
          <w:rFonts w:ascii="仿宋_GB2312" w:eastAsia="仿宋_GB2312" w:hAnsi="仿宋" w:hint="eastAsia"/>
          <w:kern w:val="2"/>
          <w:sz w:val="32"/>
          <w:szCs w:val="32"/>
        </w:rPr>
        <w:t>级标准和津市绿色新材料产业园一期项目工业污水处理厂三期进水水质要求后，进入西南</w:t>
      </w:r>
      <w:proofErr w:type="gramStart"/>
      <w:r>
        <w:rPr>
          <w:rFonts w:ascii="仿宋_GB2312" w:eastAsia="仿宋_GB2312" w:hAnsi="仿宋" w:hint="eastAsia"/>
          <w:kern w:val="2"/>
          <w:sz w:val="32"/>
          <w:szCs w:val="32"/>
        </w:rPr>
        <w:t>角集中</w:t>
      </w:r>
      <w:proofErr w:type="gramEnd"/>
      <w:r>
        <w:rPr>
          <w:rFonts w:ascii="仿宋_GB2312" w:eastAsia="仿宋_GB2312" w:hAnsi="仿宋" w:hint="eastAsia"/>
          <w:kern w:val="2"/>
          <w:sz w:val="32"/>
          <w:szCs w:val="32"/>
        </w:rPr>
        <w:t>污水收集池暂存，通过架空污水专管泵送至津市绿色新材料产业园一期项目工业污水处理厂三期进一步处理达标后排入澧水。</w:t>
      </w:r>
    </w:p>
    <w:p w14:paraId="62B86698" w14:textId="77777777" w:rsidR="007B3F4F" w:rsidRDefault="00000000">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Pr>
          <w:rFonts w:ascii="仿宋_GB2312" w:eastAsia="仿宋_GB2312" w:hAnsi="仿宋" w:hint="eastAsia"/>
          <w:kern w:val="2"/>
          <w:sz w:val="32"/>
          <w:szCs w:val="32"/>
        </w:rPr>
        <w:t>（三）严格落实大气污染防治措施。加强污水处理站恶臭污染控制，集水池、均质调节池、厌氧池、缺氧池、好氧池、生化沉淀池、污泥</w:t>
      </w:r>
      <w:proofErr w:type="gramStart"/>
      <w:r>
        <w:rPr>
          <w:rFonts w:ascii="仿宋_GB2312" w:eastAsia="仿宋_GB2312" w:hAnsi="仿宋" w:hint="eastAsia"/>
          <w:kern w:val="2"/>
          <w:sz w:val="32"/>
          <w:szCs w:val="32"/>
        </w:rPr>
        <w:t>浓缩池均设置</w:t>
      </w:r>
      <w:proofErr w:type="gramEnd"/>
      <w:r>
        <w:rPr>
          <w:rFonts w:ascii="仿宋_GB2312" w:eastAsia="仿宋_GB2312" w:hAnsi="仿宋" w:hint="eastAsia"/>
          <w:kern w:val="2"/>
          <w:sz w:val="32"/>
          <w:szCs w:val="32"/>
        </w:rPr>
        <w:t>为密闭式池体，废气采用密闭管道进行收集，与经集气罩收集的污泥浓缩间废气，一并进入生物除臭系统处理后通过高度</w:t>
      </w:r>
      <w:r>
        <w:rPr>
          <w:rFonts w:ascii="仿宋_GB2312" w:eastAsia="仿宋_GB2312" w:hAnsi="仿宋"/>
          <w:kern w:val="2"/>
          <w:sz w:val="32"/>
          <w:szCs w:val="32"/>
        </w:rPr>
        <w:t>15m</w:t>
      </w:r>
      <w:r>
        <w:rPr>
          <w:rFonts w:ascii="仿宋_GB2312" w:eastAsia="仿宋_GB2312" w:hAnsi="仿宋" w:hint="eastAsia"/>
          <w:kern w:val="2"/>
          <w:sz w:val="32"/>
          <w:szCs w:val="32"/>
        </w:rPr>
        <w:t>排气筒（DA001）排放。污水处理</w:t>
      </w:r>
      <w:proofErr w:type="gramStart"/>
      <w:r>
        <w:rPr>
          <w:rFonts w:ascii="仿宋_GB2312" w:eastAsia="仿宋_GB2312" w:hAnsi="仿宋" w:hint="eastAsia"/>
          <w:kern w:val="2"/>
          <w:sz w:val="32"/>
          <w:szCs w:val="32"/>
        </w:rPr>
        <w:t>站产生</w:t>
      </w:r>
      <w:proofErr w:type="gramEnd"/>
      <w:r>
        <w:rPr>
          <w:rFonts w:ascii="仿宋_GB2312" w:eastAsia="仿宋_GB2312" w:hAnsi="仿宋" w:hint="eastAsia"/>
          <w:kern w:val="2"/>
          <w:sz w:val="32"/>
          <w:szCs w:val="32"/>
        </w:rPr>
        <w:t>的甲烷经脱硫后，经火炬燃烧装置燃烧后排放。项目甲醇罐、乙醇罐、盐酸罐呼吸废气经密闭管道收集后经水洗+二级活性炭吸附处理后直接排放，氨水罐呼吸废气经密闭管道收集后排入氨尾气吸收塔处理后直接排放。食堂油烟经油烟净化器处理达标后引至屋顶排放（DA002）。备用柴油发电机燃烧废气设置专用烟</w:t>
      </w:r>
      <w:r>
        <w:rPr>
          <w:rFonts w:ascii="仿宋_GB2312" w:eastAsia="仿宋_GB2312" w:hAnsi="仿宋" w:hint="eastAsia"/>
          <w:color w:val="000000" w:themeColor="text1"/>
          <w:kern w:val="2"/>
          <w:sz w:val="32"/>
          <w:szCs w:val="32"/>
        </w:rPr>
        <w:t>道引至屋顶通过高度15m的排气筒（DA003）排放。依据《报告书》，项目污水处理站边界设置100米的卫生防护距离，卫生防护距离内不得新建居民住宅、学校、医院等环境敏感目标。</w:t>
      </w:r>
    </w:p>
    <w:p w14:paraId="5744BD25" w14:textId="77777777" w:rsidR="007B3F4F"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有组织污染物排放执行标准:污水处理站氨、硫化氢、臭气</w:t>
      </w:r>
      <w:r>
        <w:rPr>
          <w:rFonts w:ascii="仿宋_GB2312" w:eastAsia="仿宋_GB2312" w:hAnsi="仿宋" w:hint="eastAsia"/>
          <w:kern w:val="2"/>
          <w:sz w:val="32"/>
          <w:szCs w:val="32"/>
        </w:rPr>
        <w:lastRenderedPageBreak/>
        <w:t>浓度执行《恶臭污染物排放标准》（GB14554-93）中表 2 限值标准；食堂油烟废气执行《饮食业油烟排放标准（试行）》（GB18483-2001）限值标准；备用柴油发电机烟气颗粒物、氮氧化物、二氧化硫执行《大气污染物综合排放标准》（GB16297-1996）表2</w:t>
      </w:r>
      <w:proofErr w:type="gramStart"/>
      <w:r>
        <w:rPr>
          <w:rFonts w:ascii="仿宋_GB2312" w:eastAsia="仿宋_GB2312" w:hAnsi="仿宋" w:hint="eastAsia"/>
          <w:kern w:val="2"/>
          <w:sz w:val="32"/>
          <w:szCs w:val="32"/>
        </w:rPr>
        <w:t>二</w:t>
      </w:r>
      <w:proofErr w:type="gramEnd"/>
      <w:r>
        <w:rPr>
          <w:rFonts w:ascii="仿宋_GB2312" w:eastAsia="仿宋_GB2312" w:hAnsi="仿宋" w:hint="eastAsia"/>
          <w:kern w:val="2"/>
          <w:sz w:val="32"/>
          <w:szCs w:val="32"/>
        </w:rPr>
        <w:t>级限值标准。</w:t>
      </w:r>
    </w:p>
    <w:p w14:paraId="03190BD0" w14:textId="77777777" w:rsidR="007B3F4F" w:rsidRDefault="00000000">
      <w:pPr>
        <w:widowControl w:val="0"/>
        <w:spacing w:after="0" w:line="560" w:lineRule="exact"/>
        <w:ind w:firstLineChars="200" w:firstLine="640"/>
        <w:jc w:val="both"/>
      </w:pPr>
      <w:r>
        <w:rPr>
          <w:rFonts w:ascii="仿宋_GB2312" w:eastAsia="仿宋_GB2312" w:hAnsi="仿宋" w:hint="eastAsia"/>
          <w:kern w:val="2"/>
          <w:sz w:val="32"/>
          <w:szCs w:val="32"/>
        </w:rPr>
        <w:t>无组织污染物排放执行标准：厂界恶臭排放执行《恶臭污染物排放标准》（GB14554-93）表1</w:t>
      </w:r>
      <w:proofErr w:type="gramStart"/>
      <w:r>
        <w:rPr>
          <w:rFonts w:ascii="仿宋_GB2312" w:eastAsia="仿宋_GB2312" w:hAnsi="仿宋" w:hint="eastAsia"/>
          <w:kern w:val="2"/>
          <w:sz w:val="32"/>
          <w:szCs w:val="32"/>
        </w:rPr>
        <w:t>二</w:t>
      </w:r>
      <w:proofErr w:type="gramEnd"/>
      <w:r>
        <w:rPr>
          <w:rFonts w:ascii="仿宋_GB2312" w:eastAsia="仿宋_GB2312" w:hAnsi="仿宋" w:hint="eastAsia"/>
          <w:kern w:val="2"/>
          <w:sz w:val="32"/>
          <w:szCs w:val="32"/>
        </w:rPr>
        <w:t>级限值标准；厂界颗粒物、氮氧化物、二氧化硫、氯化氢、甲醇、非甲烷总烃排放执行《大气污染物综合排放标准》（GB16297-1996）表2无组织排放监控浓度限值；厂区内非甲烷总烃排放执行《挥发性有机物无组织排放控制标准》（GB37822-2019）附录A表A.1排放限值；甲烷排放参照执行《城镇污水处理厂污染物排放标准》（GB18918-2002）中表4</w:t>
      </w:r>
      <w:proofErr w:type="gramStart"/>
      <w:r>
        <w:rPr>
          <w:rFonts w:ascii="仿宋_GB2312" w:eastAsia="仿宋_GB2312" w:hAnsi="仿宋" w:hint="eastAsia"/>
          <w:kern w:val="2"/>
          <w:sz w:val="32"/>
          <w:szCs w:val="32"/>
        </w:rPr>
        <w:t>二</w:t>
      </w:r>
      <w:proofErr w:type="gramEnd"/>
      <w:r>
        <w:rPr>
          <w:rFonts w:ascii="仿宋_GB2312" w:eastAsia="仿宋_GB2312" w:hAnsi="仿宋" w:hint="eastAsia"/>
          <w:kern w:val="2"/>
          <w:sz w:val="32"/>
          <w:szCs w:val="32"/>
        </w:rPr>
        <w:t>级限值标准。</w:t>
      </w:r>
    </w:p>
    <w:p w14:paraId="72E6D618" w14:textId="77777777" w:rsidR="007B3F4F"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四）严格落实固体废物收集和处置措施。固体废物的处置遵循“减量化、资源化、无害化”原则，一般固体废物的收集、暂存及转移符合《一般工业固体废物贮存和填埋污染控制标准》（GB18599-2020）要求，危险废物的收集、暂存及转移符合《危险废物贮存污染物控制标准》（GB18597-2023）要求，防止二次污染。固体废物委托他人运输、利用、处置的，应当对受委托方的主体资格和技术能力进行核实，依法签订书面合同，在合同中约定污染防治要求。</w:t>
      </w:r>
    </w:p>
    <w:p w14:paraId="1CB04505" w14:textId="77777777" w:rsidR="007B3F4F" w:rsidRDefault="00000000">
      <w:pPr>
        <w:widowControl w:val="0"/>
        <w:spacing w:after="0" w:line="560" w:lineRule="exact"/>
        <w:ind w:firstLineChars="200" w:firstLine="640"/>
        <w:jc w:val="both"/>
      </w:pPr>
      <w:r>
        <w:rPr>
          <w:rFonts w:ascii="仿宋_GB2312" w:eastAsia="仿宋_GB2312" w:hAnsi="仿宋" w:hint="eastAsia"/>
          <w:kern w:val="2"/>
          <w:sz w:val="32"/>
          <w:szCs w:val="32"/>
        </w:rPr>
        <w:t>（五）严格落实噪声污染防治措施。</w:t>
      </w:r>
      <w:proofErr w:type="gramStart"/>
      <w:r>
        <w:rPr>
          <w:rFonts w:ascii="仿宋_GB2312" w:eastAsia="仿宋_GB2312" w:hAnsi="仿宋" w:hint="eastAsia"/>
          <w:kern w:val="2"/>
          <w:sz w:val="32"/>
          <w:szCs w:val="32"/>
        </w:rPr>
        <w:t>优化总</w:t>
      </w:r>
      <w:proofErr w:type="gramEnd"/>
      <w:r>
        <w:rPr>
          <w:rFonts w:ascii="仿宋_GB2312" w:eastAsia="仿宋_GB2312" w:hAnsi="仿宋" w:hint="eastAsia"/>
          <w:kern w:val="2"/>
          <w:sz w:val="32"/>
          <w:szCs w:val="32"/>
        </w:rPr>
        <w:t>平面布局，选用低噪声设备，对高噪声设备采取密闭和实体砖墙隔声、基础</w:t>
      </w:r>
      <w:r>
        <w:rPr>
          <w:rFonts w:ascii="仿宋_GB2312" w:eastAsia="仿宋_GB2312" w:hAnsi="仿宋" w:hint="eastAsia"/>
          <w:kern w:val="2"/>
          <w:sz w:val="32"/>
          <w:szCs w:val="32"/>
        </w:rPr>
        <w:lastRenderedPageBreak/>
        <w:t>减振等降噪措施，确保厂界噪声达到《工业企业厂界环境噪声排放标准》（GB12348-2008）3类标准（东、西、南侧）和4类标准（北侧）。</w:t>
      </w:r>
    </w:p>
    <w:p w14:paraId="31548365" w14:textId="77777777" w:rsidR="007B3F4F"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（六）严格落实土壤和地下水污染防治措施。严格按照“过程阻断、污染物削减、分区防控”相结合的原则，从污染物的产生、运移、扩散、应急</w:t>
      </w:r>
      <w:proofErr w:type="gramStart"/>
      <w:r>
        <w:rPr>
          <w:rFonts w:ascii="仿宋_GB2312" w:eastAsia="仿宋_GB2312" w:hAnsi="仿宋" w:hint="eastAsia"/>
          <w:kern w:val="2"/>
          <w:sz w:val="32"/>
          <w:szCs w:val="32"/>
        </w:rPr>
        <w:t>响应全阶段</w:t>
      </w:r>
      <w:proofErr w:type="gramEnd"/>
      <w:r>
        <w:rPr>
          <w:rFonts w:ascii="仿宋_GB2312" w:eastAsia="仿宋_GB2312" w:hAnsi="仿宋" w:hint="eastAsia"/>
          <w:kern w:val="2"/>
          <w:sz w:val="32"/>
          <w:szCs w:val="32"/>
        </w:rPr>
        <w:t>进行控制。严格按照《环境影响评价技术导则—地下水环境》（HJ610-2016）分区防渗，建立跟踪监测机制，定期对地下水进行跟踪监测，及时掌握地下水水质的变化情况，防止地下水污染。</w:t>
      </w:r>
    </w:p>
    <w:p w14:paraId="12418479" w14:textId="77777777" w:rsidR="007B3F4F"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严格落实环境风险防范措施。严格落实《报告书》提出的各项环境事故风险防范措施，严防环境风险事故发生。按照《湖南省突发环境事故应急预案管理办法（修订版）》落实应急预案管理要求。项目采用专用密闭架空管道输送废水和物料，实现“</w:t>
      </w:r>
      <w:proofErr w:type="gramStart"/>
      <w:r>
        <w:rPr>
          <w:rFonts w:ascii="仿宋_GB2312" w:eastAsia="仿宋_GB2312" w:hAnsi="仿宋" w:hint="eastAsia"/>
          <w:kern w:val="2"/>
          <w:sz w:val="32"/>
          <w:szCs w:val="32"/>
        </w:rPr>
        <w:t>一</w:t>
      </w:r>
      <w:proofErr w:type="gramEnd"/>
      <w:r>
        <w:rPr>
          <w:rFonts w:ascii="仿宋_GB2312" w:eastAsia="仿宋_GB2312" w:hAnsi="仿宋" w:hint="eastAsia"/>
          <w:kern w:val="2"/>
          <w:sz w:val="32"/>
          <w:szCs w:val="32"/>
        </w:rPr>
        <w:t>企</w:t>
      </w:r>
      <w:proofErr w:type="gramStart"/>
      <w:r>
        <w:rPr>
          <w:rFonts w:ascii="仿宋_GB2312" w:eastAsia="仿宋_GB2312" w:hAnsi="仿宋" w:hint="eastAsia"/>
          <w:kern w:val="2"/>
          <w:sz w:val="32"/>
          <w:szCs w:val="32"/>
        </w:rPr>
        <w:t>一</w:t>
      </w:r>
      <w:proofErr w:type="gramEnd"/>
      <w:r>
        <w:rPr>
          <w:rFonts w:ascii="仿宋_GB2312" w:eastAsia="仿宋_GB2312" w:hAnsi="仿宋" w:hint="eastAsia"/>
          <w:kern w:val="2"/>
          <w:sz w:val="32"/>
          <w:szCs w:val="32"/>
        </w:rPr>
        <w:t>管”和明管可视可检测要求，设置2个事故池，其中西厂区事故池容积2000m</w:t>
      </w:r>
      <w:r>
        <w:rPr>
          <w:rFonts w:ascii="仿宋_GB2312" w:eastAsia="仿宋_GB2312" w:hAnsi="仿宋" w:hint="eastAsia"/>
          <w:kern w:val="2"/>
          <w:sz w:val="32"/>
          <w:szCs w:val="32"/>
          <w:vertAlign w:val="superscript"/>
        </w:rPr>
        <w:t>3</w:t>
      </w:r>
      <w:r>
        <w:rPr>
          <w:rFonts w:ascii="仿宋_GB2312" w:eastAsia="仿宋_GB2312" w:hAnsi="仿宋" w:hint="eastAsia"/>
          <w:kern w:val="2"/>
          <w:sz w:val="32"/>
          <w:szCs w:val="32"/>
        </w:rPr>
        <w:t>,东厂区事故池容积1890m</w:t>
      </w:r>
      <w:r>
        <w:rPr>
          <w:rFonts w:ascii="仿宋_GB2312" w:eastAsia="仿宋_GB2312" w:hAnsi="仿宋" w:hint="eastAsia"/>
          <w:kern w:val="2"/>
          <w:sz w:val="32"/>
          <w:szCs w:val="32"/>
          <w:vertAlign w:val="superscript"/>
        </w:rPr>
        <w:t>3</w:t>
      </w:r>
      <w:r>
        <w:rPr>
          <w:rFonts w:ascii="仿宋_GB2312" w:eastAsia="仿宋_GB2312" w:hAnsi="仿宋" w:hint="eastAsia"/>
          <w:kern w:val="2"/>
          <w:sz w:val="32"/>
          <w:szCs w:val="32"/>
        </w:rPr>
        <w:t>，罐区设置防火堤（兼做围堰），装置区域内易泄露危险物质的场所和有毒气体的场所设置固定式的有毒气体检测仪，并为现场巡检和操作人员配备便携式的有毒气体检测仪。</w:t>
      </w:r>
    </w:p>
    <w:p w14:paraId="7683D412" w14:textId="77777777" w:rsidR="007B3F4F"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w:t>
      </w:r>
      <w:r>
        <w:rPr>
          <w:rFonts w:ascii="仿宋_GB2312" w:eastAsia="仿宋_GB2312" w:hAnsi="仿宋"/>
          <w:kern w:val="2"/>
          <w:sz w:val="32"/>
          <w:szCs w:val="32"/>
        </w:rPr>
        <w:t>、严格落实总量控制要求。根据《报告</w:t>
      </w:r>
      <w:r>
        <w:rPr>
          <w:rFonts w:ascii="仿宋_GB2312" w:eastAsia="仿宋_GB2312" w:hAnsi="仿宋" w:hint="eastAsia"/>
          <w:kern w:val="2"/>
          <w:sz w:val="32"/>
          <w:szCs w:val="32"/>
        </w:rPr>
        <w:t>书</w:t>
      </w:r>
      <w:r>
        <w:rPr>
          <w:rFonts w:ascii="仿宋_GB2312" w:eastAsia="仿宋_GB2312" w:hAnsi="仿宋"/>
          <w:kern w:val="2"/>
          <w:sz w:val="32"/>
          <w:szCs w:val="32"/>
        </w:rPr>
        <w:t>》核定项目总量控制指标：化学需氧量&lt;</w:t>
      </w:r>
      <w:r>
        <w:rPr>
          <w:rFonts w:ascii="仿宋_GB2312" w:eastAsia="仿宋_GB2312" w:hAnsi="仿宋" w:hint="eastAsia"/>
          <w:kern w:val="2"/>
          <w:sz w:val="32"/>
          <w:szCs w:val="32"/>
        </w:rPr>
        <w:t>18.75</w:t>
      </w:r>
      <w:r>
        <w:rPr>
          <w:rFonts w:ascii="仿宋_GB2312" w:eastAsia="仿宋_GB2312" w:hAnsi="仿宋"/>
          <w:kern w:val="2"/>
          <w:sz w:val="32"/>
          <w:szCs w:val="32"/>
        </w:rPr>
        <w:t>吨/年，氨氮&lt;</w:t>
      </w:r>
      <w:r>
        <w:rPr>
          <w:rFonts w:ascii="仿宋_GB2312" w:eastAsia="仿宋_GB2312" w:hAnsi="仿宋" w:hint="eastAsia"/>
          <w:kern w:val="2"/>
          <w:sz w:val="32"/>
          <w:szCs w:val="32"/>
        </w:rPr>
        <w:t>3</w:t>
      </w:r>
      <w:r>
        <w:rPr>
          <w:rFonts w:ascii="仿宋_GB2312" w:eastAsia="仿宋_GB2312" w:hAnsi="仿宋"/>
          <w:kern w:val="2"/>
          <w:sz w:val="32"/>
          <w:szCs w:val="32"/>
        </w:rPr>
        <w:t>吨/年，挥发性有机物&lt;</w:t>
      </w:r>
      <w:r>
        <w:rPr>
          <w:rFonts w:ascii="仿宋_GB2312" w:eastAsia="仿宋_GB2312" w:hAnsi="仿宋" w:hint="eastAsia"/>
          <w:kern w:val="2"/>
          <w:sz w:val="32"/>
          <w:szCs w:val="32"/>
        </w:rPr>
        <w:t>0.22</w:t>
      </w:r>
      <w:r>
        <w:rPr>
          <w:rFonts w:ascii="仿宋_GB2312" w:eastAsia="仿宋_GB2312" w:hAnsi="仿宋"/>
          <w:kern w:val="2"/>
          <w:sz w:val="32"/>
          <w:szCs w:val="32"/>
        </w:rPr>
        <w:t>吨/年</w:t>
      </w:r>
      <w:r>
        <w:rPr>
          <w:rFonts w:ascii="仿宋_GB2312" w:eastAsia="仿宋_GB2312" w:hAnsi="仿宋" w:hint="eastAsia"/>
          <w:kern w:val="2"/>
          <w:sz w:val="32"/>
          <w:szCs w:val="32"/>
        </w:rPr>
        <w:t>，二氧化硫</w:t>
      </w:r>
      <w:r>
        <w:rPr>
          <w:rFonts w:ascii="仿宋_GB2312" w:eastAsia="仿宋_GB2312" w:hAnsi="仿宋"/>
          <w:kern w:val="2"/>
          <w:sz w:val="32"/>
          <w:szCs w:val="32"/>
        </w:rPr>
        <w:t>&lt;</w:t>
      </w:r>
      <w:r>
        <w:rPr>
          <w:rFonts w:ascii="仿宋_GB2312" w:eastAsia="仿宋_GB2312" w:hAnsi="仿宋" w:hint="eastAsia"/>
          <w:kern w:val="2"/>
          <w:sz w:val="32"/>
          <w:szCs w:val="32"/>
        </w:rPr>
        <w:t>0.07</w:t>
      </w:r>
      <w:r>
        <w:rPr>
          <w:rFonts w:ascii="仿宋_GB2312" w:eastAsia="仿宋_GB2312" w:hAnsi="仿宋"/>
          <w:kern w:val="2"/>
          <w:sz w:val="32"/>
          <w:szCs w:val="32"/>
        </w:rPr>
        <w:t>吨/年</w:t>
      </w:r>
      <w:r>
        <w:rPr>
          <w:rFonts w:ascii="仿宋_GB2312" w:eastAsia="仿宋_GB2312" w:hAnsi="仿宋" w:hint="eastAsia"/>
          <w:kern w:val="2"/>
          <w:sz w:val="32"/>
          <w:szCs w:val="32"/>
        </w:rPr>
        <w:t>，氮氧化物</w:t>
      </w:r>
      <w:r>
        <w:rPr>
          <w:rFonts w:ascii="仿宋_GB2312" w:eastAsia="仿宋_GB2312" w:hAnsi="仿宋"/>
          <w:kern w:val="2"/>
          <w:sz w:val="32"/>
          <w:szCs w:val="32"/>
        </w:rPr>
        <w:t>&lt;</w:t>
      </w:r>
      <w:r>
        <w:rPr>
          <w:rFonts w:ascii="仿宋_GB2312" w:eastAsia="仿宋_GB2312" w:hAnsi="仿宋" w:hint="eastAsia"/>
          <w:kern w:val="2"/>
          <w:sz w:val="32"/>
          <w:szCs w:val="32"/>
        </w:rPr>
        <w:t>0.9</w:t>
      </w:r>
      <w:r>
        <w:rPr>
          <w:rFonts w:ascii="仿宋_GB2312" w:eastAsia="仿宋_GB2312" w:hAnsi="仿宋"/>
          <w:kern w:val="2"/>
          <w:sz w:val="32"/>
          <w:szCs w:val="32"/>
        </w:rPr>
        <w:t>吨/年。</w:t>
      </w:r>
      <w:r>
        <w:rPr>
          <w:rFonts w:ascii="仿宋_GB2312" w:eastAsia="仿宋_GB2312" w:hAnsi="仿宋" w:hint="eastAsia"/>
          <w:kern w:val="2"/>
          <w:sz w:val="32"/>
          <w:szCs w:val="32"/>
        </w:rPr>
        <w:t>以上所需购买总量指标在取得排污许可证前应由常德市排污权交易中心进行交易并确认。</w:t>
      </w:r>
    </w:p>
    <w:p w14:paraId="3A6BA6A2" w14:textId="77777777" w:rsidR="007B3F4F"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lastRenderedPageBreak/>
        <w:t>五、本</w:t>
      </w:r>
      <w:proofErr w:type="gramStart"/>
      <w:r>
        <w:rPr>
          <w:rFonts w:ascii="仿宋_GB2312" w:eastAsia="仿宋_GB2312" w:hAnsi="仿宋" w:hint="eastAsia"/>
          <w:kern w:val="2"/>
          <w:sz w:val="32"/>
          <w:szCs w:val="32"/>
        </w:rPr>
        <w:t>项目环</w:t>
      </w:r>
      <w:proofErr w:type="gramEnd"/>
      <w:r>
        <w:rPr>
          <w:rFonts w:ascii="仿宋_GB2312" w:eastAsia="仿宋_GB2312" w:hAnsi="仿宋" w:hint="eastAsia"/>
          <w:kern w:val="2"/>
          <w:sz w:val="32"/>
          <w:szCs w:val="32"/>
        </w:rPr>
        <w:t>评不涉及具体入驻项目的环境影响评价，拟入驻的项目须对照《报告书》明确的环境准入清单要求，依法单独进行环境影响评价与审批程序，不得擅自改变环境影响评价类别、降低环境影响评价等级。</w:t>
      </w:r>
    </w:p>
    <w:p w14:paraId="4EE46480" w14:textId="77777777" w:rsidR="007B3F4F"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六、《报告书》经批复后，项目的性质、规模、地点、采用的生产工艺或者防治污染、防止生态破坏的措施发生重大变动的，应当重新报批项目环境影响评价文件。</w:t>
      </w:r>
      <w:r>
        <w:rPr>
          <w:rFonts w:ascii="仿宋_GB2312" w:eastAsia="仿宋_GB2312" w:hAnsi="仿宋" w:hint="eastAsia"/>
          <w:color w:val="000000" w:themeColor="text1"/>
          <w:kern w:val="2"/>
          <w:sz w:val="32"/>
          <w:szCs w:val="32"/>
        </w:rPr>
        <w:t>自批复之日起超过五年， 方决定建设项目开工建设的，其环境影响评价文件应报我局重新审核。</w:t>
      </w:r>
      <w:r>
        <w:rPr>
          <w:rFonts w:ascii="仿宋_GB2312" w:eastAsia="仿宋_GB2312" w:hAnsi="仿宋" w:hint="eastAsia"/>
          <w:kern w:val="2"/>
          <w:sz w:val="32"/>
          <w:szCs w:val="32"/>
        </w:rPr>
        <w:t>项目在实际排污之前须完善排污许可相关手续，并严格按规定程序实施竣工环境保护验收。本项目建设、运行依法需要其他行政许可的，你单位应按规定及时办理并取得其他行政许可。</w:t>
      </w:r>
    </w:p>
    <w:p w14:paraId="2AF05F90" w14:textId="77777777" w:rsidR="007B3F4F"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七、项目的环保“三同时”执行情况的监督检查和日常环境管理工作按属地管理原则由常德市生态环境局津市分局具体负责。</w:t>
      </w:r>
    </w:p>
    <w:p w14:paraId="628EE1B7" w14:textId="77777777" w:rsidR="007B3F4F" w:rsidRDefault="007B3F4F">
      <w:pPr>
        <w:pStyle w:val="a0"/>
      </w:pPr>
    </w:p>
    <w:p w14:paraId="1E76117C" w14:textId="77777777" w:rsidR="007B3F4F" w:rsidRDefault="007B3F4F">
      <w:pPr>
        <w:pStyle w:val="a0"/>
      </w:pPr>
    </w:p>
    <w:p w14:paraId="32897A05" w14:textId="77777777" w:rsidR="007B3F4F" w:rsidRDefault="007B3F4F">
      <w:pPr>
        <w:pStyle w:val="a0"/>
      </w:pPr>
    </w:p>
    <w:p w14:paraId="5F1ADF97" w14:textId="77777777" w:rsidR="007B3F4F" w:rsidRDefault="007B3F4F">
      <w:pPr>
        <w:pStyle w:val="a0"/>
      </w:pPr>
    </w:p>
    <w:p w14:paraId="25009287" w14:textId="77777777" w:rsidR="007B3F4F" w:rsidRDefault="00000000">
      <w:pPr>
        <w:spacing w:after="0" w:line="560" w:lineRule="exact"/>
        <w:ind w:firstLineChars="1683" w:firstLine="5386"/>
        <w:rPr>
          <w:rFonts w:ascii="仿宋_GB2312" w:eastAsia="仿宋_GB2312"/>
          <w:sz w:val="32"/>
          <w:szCs w:val="32"/>
        </w:rPr>
      </w:pPr>
      <w:r>
        <w:rPr>
          <w:rFonts w:ascii="仿宋_GB2312" w:eastAsia="仿宋_GB2312" w:hint="eastAsia"/>
          <w:sz w:val="32"/>
          <w:szCs w:val="32"/>
        </w:rPr>
        <w:t>常德市生态环境局</w:t>
      </w:r>
    </w:p>
    <w:p w14:paraId="22020363" w14:textId="77777777" w:rsidR="007B3F4F" w:rsidRDefault="00000000">
      <w:pPr>
        <w:widowControl w:val="0"/>
        <w:spacing w:after="0" w:line="560" w:lineRule="exact"/>
        <w:ind w:firstLineChars="1683" w:firstLine="5386"/>
        <w:rPr>
          <w:rFonts w:ascii="仿宋_GB2312" w:eastAsia="仿宋_GB2312"/>
          <w:sz w:val="32"/>
          <w:szCs w:val="32"/>
        </w:rPr>
      </w:pPr>
      <w:r>
        <w:rPr>
          <w:rFonts w:ascii="仿宋_GB2312" w:eastAsia="仿宋_GB2312" w:hint="eastAsia"/>
          <w:sz w:val="32"/>
          <w:szCs w:val="32"/>
        </w:rPr>
        <w:t>2025年12月26日</w:t>
      </w:r>
    </w:p>
    <w:p w14:paraId="4248A53C" w14:textId="77777777" w:rsidR="007B3F4F" w:rsidRDefault="007B3F4F">
      <w:pPr>
        <w:pStyle w:val="a0"/>
      </w:pPr>
    </w:p>
    <w:p w14:paraId="77F7D871" w14:textId="77777777" w:rsidR="007B3F4F" w:rsidRDefault="007B3F4F">
      <w:pPr>
        <w:pStyle w:val="a0"/>
      </w:pPr>
    </w:p>
    <w:p w14:paraId="7A376B99" w14:textId="77777777" w:rsidR="007B3F4F" w:rsidRDefault="00000000">
      <w:pPr>
        <w:widowControl w:val="0"/>
        <w:pBdr>
          <w:top w:val="single" w:sz="4" w:space="1" w:color="auto"/>
          <w:bottom w:val="single" w:sz="4" w:space="1" w:color="auto"/>
        </w:pBdr>
        <w:autoSpaceDE w:val="0"/>
        <w:autoSpaceDN w:val="0"/>
        <w:snapToGrid/>
        <w:spacing w:after="0" w:line="520" w:lineRule="exact"/>
        <w:jc w:val="both"/>
        <w:rPr>
          <w:rFonts w:ascii="仿宋_GB2312" w:eastAsia="仿宋_GB2312" w:hAnsi="仿宋" w:hint="eastAsia"/>
          <w:sz w:val="28"/>
          <w:szCs w:val="28"/>
          <w:lang w:val="en-GB"/>
        </w:rPr>
      </w:pPr>
      <w:r>
        <w:rPr>
          <w:rFonts w:ascii="仿宋_GB2312" w:eastAsia="仿宋_GB2312" w:hAnsi="Times New Roman" w:cs="黑体" w:hint="eastAsia"/>
          <w:sz w:val="28"/>
          <w:szCs w:val="28"/>
        </w:rPr>
        <w:t>抄送：</w:t>
      </w:r>
      <w:r>
        <w:rPr>
          <w:rFonts w:ascii="仿宋_GB2312" w:eastAsia="仿宋_GB2312" w:hAnsi="仿宋" w:hint="eastAsia"/>
          <w:sz w:val="28"/>
          <w:szCs w:val="28"/>
          <w:lang w:val="en-GB"/>
        </w:rPr>
        <w:t>常德市生态环境局</w:t>
      </w:r>
      <w:r>
        <w:rPr>
          <w:rFonts w:ascii="仿宋_GB2312" w:eastAsia="仿宋_GB2312" w:hAnsi="仿宋" w:hint="eastAsia"/>
          <w:sz w:val="28"/>
          <w:szCs w:val="28"/>
        </w:rPr>
        <w:t>津市</w:t>
      </w:r>
      <w:r>
        <w:rPr>
          <w:rFonts w:ascii="仿宋_GB2312" w:eastAsia="仿宋_GB2312" w:hAnsi="仿宋" w:hint="eastAsia"/>
          <w:sz w:val="28"/>
          <w:szCs w:val="28"/>
          <w:lang w:val="en-GB"/>
        </w:rPr>
        <w:t>分局、</w:t>
      </w:r>
      <w:r>
        <w:rPr>
          <w:rFonts w:ascii="仿宋_GB2312" w:eastAsia="仿宋_GB2312" w:hAnsi="仿宋" w:hint="eastAsia"/>
          <w:sz w:val="28"/>
          <w:szCs w:val="28"/>
        </w:rPr>
        <w:t>津市高新技术产业开发区管委会</w:t>
      </w:r>
      <w:r>
        <w:rPr>
          <w:rFonts w:ascii="仿宋_GB2312" w:eastAsia="仿宋_GB2312" w:hAnsi="仿宋" w:hint="eastAsia"/>
          <w:sz w:val="28"/>
          <w:szCs w:val="28"/>
          <w:lang w:val="en-GB"/>
        </w:rPr>
        <w:t>、</w:t>
      </w:r>
      <w:r>
        <w:rPr>
          <w:rFonts w:ascii="仿宋_GB2312" w:eastAsia="仿宋_GB2312" w:hAnsi="仿宋" w:hint="eastAsia"/>
          <w:sz w:val="28"/>
          <w:szCs w:val="28"/>
        </w:rPr>
        <w:t>湖南格瑞大地环境科技有限公司</w:t>
      </w:r>
    </w:p>
    <w:sectPr w:rsidR="007B3F4F">
      <w:headerReference w:type="default" r:id="rId6"/>
      <w:footerReference w:type="even" r:id="rId7"/>
      <w:footerReference w:type="default" r:id="rId8"/>
      <w:pgSz w:w="11906" w:h="16838"/>
      <w:pgMar w:top="2098" w:right="1474" w:bottom="1701" w:left="1588" w:header="709" w:footer="709" w:gutter="0"/>
      <w:pgNumType w:fmt="numberInDash"/>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6F4D" w14:textId="77777777" w:rsidR="00A67309" w:rsidRDefault="00A67309">
      <w:pPr>
        <w:spacing w:after="0"/>
      </w:pPr>
      <w:r>
        <w:separator/>
      </w:r>
    </w:p>
  </w:endnote>
  <w:endnote w:type="continuationSeparator" w:id="0">
    <w:p w14:paraId="7A5D0EC2" w14:textId="77777777" w:rsidR="00A67309" w:rsidRDefault="00A673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89925053-E4B9-4D1C-A80A-4C5B5843EC7E}"/>
  </w:font>
  <w:font w:name="Tahoma">
    <w:altName w:val="DejaVu Sans"/>
    <w:panose1 w:val="020B0604030504040204"/>
    <w:charset w:val="00"/>
    <w:family w:val="swiss"/>
    <w:pitch w:val="variable"/>
    <w:sig w:usb0="E1002EFF" w:usb1="C000605B" w:usb2="00000029" w:usb3="00000000" w:csb0="000101FF" w:csb1="00000000"/>
  </w:font>
  <w:font w:name="微软雅黑">
    <w:altName w:val="黑体"/>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9895F504-CEF5-41A5-9D00-F344BE6D3114}"/>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59302"/>
    </w:sdtPr>
    <w:sdtEndPr>
      <w:rPr>
        <w:rFonts w:ascii="宋体" w:eastAsia="宋体" w:hAnsi="宋体"/>
        <w:sz w:val="24"/>
        <w:szCs w:val="24"/>
      </w:rPr>
    </w:sdtEndPr>
    <w:sdtContent>
      <w:p w14:paraId="7F57F803" w14:textId="77777777" w:rsidR="007B3F4F" w:rsidRDefault="00000000">
        <w:pPr>
          <w:pStyle w:val="ac"/>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2 -</w:t>
        </w:r>
        <w:r>
          <w:rPr>
            <w:rFonts w:ascii="宋体" w:eastAsia="宋体" w:hAnsi="宋体"/>
            <w:sz w:val="24"/>
            <w:szCs w:val="24"/>
          </w:rPr>
          <w:fldChar w:fldCharType="end"/>
        </w:r>
      </w:p>
    </w:sdtContent>
  </w:sdt>
  <w:p w14:paraId="6CD29122" w14:textId="77777777" w:rsidR="007B3F4F" w:rsidRDefault="007B3F4F">
    <w:pPr>
      <w:pStyle w:val="ac"/>
      <w:tabs>
        <w:tab w:val="clear" w:pos="4153"/>
        <w:tab w:val="clear" w:pos="8306"/>
        <w:tab w:val="left" w:pos="35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rPr>
        <w:rFonts w:ascii="宋体" w:eastAsia="宋体" w:hAnsi="宋体"/>
        <w:sz w:val="24"/>
        <w:szCs w:val="24"/>
      </w:rPr>
    </w:sdtEndPr>
    <w:sdtContent>
      <w:p w14:paraId="35666D2E" w14:textId="77777777" w:rsidR="007B3F4F" w:rsidRDefault="00000000">
        <w:pPr>
          <w:pStyle w:val="ac"/>
          <w:jc w:val="right"/>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5 -</w:t>
        </w:r>
        <w:r>
          <w:rPr>
            <w:rFonts w:ascii="宋体" w:eastAsia="宋体" w:hAnsi="宋体"/>
            <w:sz w:val="24"/>
            <w:szCs w:val="24"/>
            <w:lang w:val="zh-CN"/>
          </w:rPr>
          <w:fldChar w:fldCharType="end"/>
        </w:r>
      </w:p>
    </w:sdtContent>
  </w:sdt>
  <w:p w14:paraId="357745A5" w14:textId="77777777" w:rsidR="007B3F4F" w:rsidRDefault="007B3F4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3EEE" w14:textId="77777777" w:rsidR="00A67309" w:rsidRDefault="00A67309">
      <w:pPr>
        <w:spacing w:after="0"/>
      </w:pPr>
      <w:r>
        <w:separator/>
      </w:r>
    </w:p>
  </w:footnote>
  <w:footnote w:type="continuationSeparator" w:id="0">
    <w:p w14:paraId="1335B75F" w14:textId="77777777" w:rsidR="00A67309" w:rsidRDefault="00A673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94A1" w14:textId="77777777" w:rsidR="007B3F4F" w:rsidRDefault="007B3F4F">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embedSystemFonts/>
  <w:saveSubsetFonts/>
  <w:bordersDoNotSurroundHeader/>
  <w:bordersDoNotSurroundFooter/>
  <w:proofState w:spelling="clean" w:grammar="clean"/>
  <w:defaultTabStop w:val="720"/>
  <w:evenAndOddHeaders/>
  <w:characterSpacingControl w:val="doNotCompress"/>
  <w:noLineBreaksAfter w:lang="zh-CN" w:val="$([{£¥·‘“〈《「『【〔〖〝﹙﹛﹝＄（．［｛￡￥"/>
  <w:noLineBreaksBefore w:lang="zh-CN" w:val="!%),.:;&gt;?]}¢¨°·ˇˉ―‖’”…‰′″›℃∶、。〃〉》」』】〕〗〞︶︺︾﹀﹄﹚﹜﹞！＂％＇），．：；？］｀｜｝～￠"/>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wZDQ2ZDRjNTQyYzUxN2ZjYWQzZmQ1ZGZiMjhmOGQifQ=="/>
  </w:docVars>
  <w:rsids>
    <w:rsidRoot w:val="00D31D50"/>
    <w:rsid w:val="9FFE8297"/>
    <w:rsid w:val="AFEDB4A9"/>
    <w:rsid w:val="B1B8773D"/>
    <w:rsid w:val="CFBF43C7"/>
    <w:rsid w:val="D7D35F29"/>
    <w:rsid w:val="DFF7BC6D"/>
    <w:rsid w:val="EF776F11"/>
    <w:rsid w:val="FD1F5341"/>
    <w:rsid w:val="FE752D22"/>
    <w:rsid w:val="FED65903"/>
    <w:rsid w:val="FED993C2"/>
    <w:rsid w:val="FFEF9C74"/>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B3F4F"/>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3461"/>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67309"/>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07B"/>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D72310"/>
    <w:rsid w:val="02F319D1"/>
    <w:rsid w:val="09183FD8"/>
    <w:rsid w:val="0ABD64CA"/>
    <w:rsid w:val="0AED1E94"/>
    <w:rsid w:val="0FF47601"/>
    <w:rsid w:val="11E84CAD"/>
    <w:rsid w:val="11FC2A93"/>
    <w:rsid w:val="121D6DD7"/>
    <w:rsid w:val="1864257A"/>
    <w:rsid w:val="1A1F3A22"/>
    <w:rsid w:val="1C31474A"/>
    <w:rsid w:val="1CE454D7"/>
    <w:rsid w:val="1D6075A2"/>
    <w:rsid w:val="1F7E4C13"/>
    <w:rsid w:val="20B1764F"/>
    <w:rsid w:val="24BD7B04"/>
    <w:rsid w:val="2B472954"/>
    <w:rsid w:val="32D87E83"/>
    <w:rsid w:val="348B5781"/>
    <w:rsid w:val="35771DBF"/>
    <w:rsid w:val="359D3C7F"/>
    <w:rsid w:val="372E18EF"/>
    <w:rsid w:val="387500C6"/>
    <w:rsid w:val="396C5641"/>
    <w:rsid w:val="3E1828E2"/>
    <w:rsid w:val="3FFA65D7"/>
    <w:rsid w:val="401D79A6"/>
    <w:rsid w:val="403B1546"/>
    <w:rsid w:val="4199493D"/>
    <w:rsid w:val="430C6815"/>
    <w:rsid w:val="44C11A60"/>
    <w:rsid w:val="453D0594"/>
    <w:rsid w:val="490D512B"/>
    <w:rsid w:val="49B7EAFF"/>
    <w:rsid w:val="49DE3B6B"/>
    <w:rsid w:val="4B010851"/>
    <w:rsid w:val="4C7B4980"/>
    <w:rsid w:val="50011E81"/>
    <w:rsid w:val="538C1942"/>
    <w:rsid w:val="54D01263"/>
    <w:rsid w:val="5A7E0143"/>
    <w:rsid w:val="5AF865A4"/>
    <w:rsid w:val="5EEF6D1B"/>
    <w:rsid w:val="61C76C69"/>
    <w:rsid w:val="61D32628"/>
    <w:rsid w:val="655A7176"/>
    <w:rsid w:val="66941121"/>
    <w:rsid w:val="66D226BA"/>
    <w:rsid w:val="68F2718B"/>
    <w:rsid w:val="6C413068"/>
    <w:rsid w:val="6D4B1CE7"/>
    <w:rsid w:val="6D97275C"/>
    <w:rsid w:val="6ED91CC2"/>
    <w:rsid w:val="706C18DA"/>
    <w:rsid w:val="71357517"/>
    <w:rsid w:val="72DE10A0"/>
    <w:rsid w:val="73D74936"/>
    <w:rsid w:val="74A00563"/>
    <w:rsid w:val="754763C8"/>
    <w:rsid w:val="76DC19C5"/>
    <w:rsid w:val="77F731D8"/>
    <w:rsid w:val="7A84746C"/>
    <w:rsid w:val="7C2B603A"/>
    <w:rsid w:val="7D2F7F9F"/>
    <w:rsid w:val="7F7B4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7EC019"/>
  <w15:docId w15:val="{8C275F18-EBA2-425B-A0E4-3B896768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pPr>
      <w:keepNext/>
      <w:keepLines/>
      <w:spacing w:line="360" w:lineRule="auto"/>
      <w:outlineLvl w:val="0"/>
    </w:pPr>
    <w:rPr>
      <w:b/>
      <w:bCs/>
      <w:kern w:val="44"/>
      <w:sz w:val="30"/>
      <w:szCs w:val="44"/>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a4"/>
    <w:uiPriority w:val="99"/>
    <w:qFormat/>
    <w:pPr>
      <w:spacing w:after="120"/>
    </w:pPr>
  </w:style>
  <w:style w:type="paragraph" w:customStyle="1" w:styleId="xl27">
    <w:name w:val="xl27"/>
    <w:basedOn w:val="a"/>
    <w:next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5">
    <w:name w:val="A正文"/>
    <w:uiPriority w:val="99"/>
    <w:qFormat/>
    <w:pPr>
      <w:spacing w:line="480" w:lineRule="exact"/>
      <w:ind w:firstLine="480"/>
    </w:pPr>
    <w:rPr>
      <w:rFonts w:ascii="宋体" w:hAnsi="宋体"/>
      <w:sz w:val="24"/>
      <w:szCs w:val="22"/>
    </w:rPr>
  </w:style>
  <w:style w:type="paragraph" w:styleId="a6">
    <w:name w:val="Document Map"/>
    <w:basedOn w:val="a"/>
    <w:link w:val="a7"/>
    <w:uiPriority w:val="99"/>
    <w:semiHidden/>
    <w:qFormat/>
    <w:pPr>
      <w:shd w:val="clear" w:color="auto" w:fill="000080"/>
    </w:pPr>
  </w:style>
  <w:style w:type="paragraph" w:styleId="a8">
    <w:name w:val="Body Text Indent"/>
    <w:basedOn w:val="a"/>
    <w:link w:val="a9"/>
    <w:uiPriority w:val="99"/>
    <w:semiHidden/>
    <w:unhideWhenUsed/>
    <w:qFormat/>
    <w:pPr>
      <w:spacing w:after="120"/>
      <w:ind w:leftChars="200" w:left="420"/>
    </w:pPr>
  </w:style>
  <w:style w:type="paragraph" w:styleId="aa">
    <w:name w:val="Balloon Text"/>
    <w:basedOn w:val="a"/>
    <w:link w:val="ab"/>
    <w:uiPriority w:val="99"/>
    <w:semiHidden/>
    <w:unhideWhenUsed/>
    <w:qFormat/>
    <w:pPr>
      <w:spacing w:after="0"/>
    </w:pPr>
    <w:rPr>
      <w:sz w:val="18"/>
      <w:szCs w:val="18"/>
    </w:rPr>
  </w:style>
  <w:style w:type="paragraph" w:styleId="ac">
    <w:name w:val="footer"/>
    <w:basedOn w:val="a"/>
    <w:link w:val="ad"/>
    <w:uiPriority w:val="99"/>
    <w:qFormat/>
    <w:pPr>
      <w:tabs>
        <w:tab w:val="center" w:pos="4153"/>
        <w:tab w:val="right" w:pos="8306"/>
      </w:tabs>
    </w:pPr>
    <w:rPr>
      <w:sz w:val="18"/>
      <w:szCs w:val="18"/>
    </w:rPr>
  </w:style>
  <w:style w:type="paragraph" w:styleId="ae">
    <w:name w:val="header"/>
    <w:basedOn w:val="a"/>
    <w:link w:val="af"/>
    <w:uiPriority w:val="99"/>
    <w:semiHidden/>
    <w:qFormat/>
    <w:pPr>
      <w:pBdr>
        <w:bottom w:val="single" w:sz="6" w:space="1" w:color="auto"/>
      </w:pBdr>
      <w:tabs>
        <w:tab w:val="center" w:pos="4153"/>
        <w:tab w:val="right" w:pos="8306"/>
      </w:tabs>
      <w:jc w:val="center"/>
    </w:pPr>
    <w:rPr>
      <w:sz w:val="18"/>
      <w:szCs w:val="18"/>
    </w:rPr>
  </w:style>
  <w:style w:type="paragraph" w:styleId="TOC2">
    <w:name w:val="toc 2"/>
    <w:basedOn w:val="a"/>
    <w:next w:val="a"/>
    <w:unhideWhenUsed/>
    <w:qFormat/>
    <w:locked/>
    <w:pPr>
      <w:ind w:leftChars="200" w:left="420"/>
    </w:pPr>
  </w:style>
  <w:style w:type="paragraph" w:styleId="af0">
    <w:name w:val="Normal (Web)"/>
    <w:basedOn w:val="a"/>
    <w:qFormat/>
    <w:pPr>
      <w:adjustRightInd/>
      <w:snapToGrid/>
      <w:spacing w:before="100" w:beforeAutospacing="1" w:after="100" w:afterAutospacing="1"/>
    </w:pPr>
    <w:rPr>
      <w:rFonts w:ascii="宋体" w:eastAsia="宋体" w:hAnsi="宋体"/>
      <w:sz w:val="24"/>
      <w:szCs w:val="24"/>
    </w:rPr>
  </w:style>
  <w:style w:type="paragraph" w:styleId="af1">
    <w:name w:val="Title"/>
    <w:basedOn w:val="a"/>
    <w:next w:val="a"/>
    <w:link w:val="af2"/>
    <w:uiPriority w:val="99"/>
    <w:qFormat/>
    <w:pPr>
      <w:spacing w:before="240" w:after="60"/>
      <w:jc w:val="center"/>
      <w:outlineLvl w:val="0"/>
    </w:pPr>
    <w:rPr>
      <w:rFonts w:ascii="Cambria" w:eastAsia="宋体" w:hAnsi="Cambria"/>
      <w:b/>
      <w:bCs/>
      <w:sz w:val="32"/>
      <w:szCs w:val="32"/>
    </w:rPr>
  </w:style>
  <w:style w:type="paragraph" w:styleId="af3">
    <w:name w:val="Body Text First Indent"/>
    <w:basedOn w:val="a0"/>
    <w:link w:val="af4"/>
    <w:uiPriority w:val="99"/>
    <w:qFormat/>
    <w:pPr>
      <w:widowControl w:val="0"/>
      <w:adjustRightInd/>
      <w:snapToGrid/>
      <w:ind w:firstLineChars="100" w:firstLine="420"/>
      <w:jc w:val="both"/>
    </w:pPr>
    <w:rPr>
      <w:rFonts w:ascii="Times New Roman" w:eastAsia="宋体" w:hAnsi="Times New Roman"/>
      <w:kern w:val="2"/>
      <w:sz w:val="21"/>
      <w:szCs w:val="24"/>
    </w:rPr>
  </w:style>
  <w:style w:type="paragraph" w:styleId="2">
    <w:name w:val="Body Text First Indent 2"/>
    <w:basedOn w:val="a8"/>
    <w:link w:val="20"/>
    <w:uiPriority w:val="99"/>
    <w:semiHidden/>
    <w:unhideWhenUsed/>
    <w:qFormat/>
    <w:pPr>
      <w:ind w:firstLineChars="200" w:firstLine="420"/>
    </w:pPr>
  </w:style>
  <w:style w:type="character" w:customStyle="1" w:styleId="af">
    <w:name w:val="页眉 字符"/>
    <w:basedOn w:val="a1"/>
    <w:link w:val="ae"/>
    <w:uiPriority w:val="99"/>
    <w:semiHidden/>
    <w:qFormat/>
    <w:locked/>
    <w:rPr>
      <w:rFonts w:ascii="Tahoma" w:hAnsi="Tahoma" w:cs="Times New Roman"/>
      <w:sz w:val="18"/>
      <w:szCs w:val="18"/>
    </w:rPr>
  </w:style>
  <w:style w:type="character" w:customStyle="1" w:styleId="ad">
    <w:name w:val="页脚 字符"/>
    <w:basedOn w:val="a1"/>
    <w:link w:val="ac"/>
    <w:uiPriority w:val="99"/>
    <w:qFormat/>
    <w:locked/>
    <w:rPr>
      <w:rFonts w:ascii="Tahoma" w:hAnsi="Tahoma" w:cs="Times New Roman"/>
      <w:sz w:val="18"/>
      <w:szCs w:val="18"/>
    </w:rPr>
  </w:style>
  <w:style w:type="character" w:customStyle="1" w:styleId="a4">
    <w:name w:val="正文文本 字符"/>
    <w:basedOn w:val="a1"/>
    <w:link w:val="a0"/>
    <w:uiPriority w:val="99"/>
    <w:qFormat/>
    <w:locked/>
    <w:rPr>
      <w:rFonts w:ascii="Tahoma" w:hAnsi="Tahoma" w:cs="Times New Roman"/>
    </w:rPr>
  </w:style>
  <w:style w:type="character" w:customStyle="1" w:styleId="af4">
    <w:name w:val="正文文本首行缩进 字符"/>
    <w:basedOn w:val="a4"/>
    <w:link w:val="af3"/>
    <w:uiPriority w:val="99"/>
    <w:qFormat/>
    <w:locked/>
    <w:rPr>
      <w:rFonts w:ascii="Times New Roman" w:eastAsia="宋体" w:hAnsi="Times New Roman" w:cs="Times New Roman"/>
      <w:kern w:val="2"/>
      <w:sz w:val="24"/>
      <w:szCs w:val="24"/>
    </w:rPr>
  </w:style>
  <w:style w:type="character" w:customStyle="1" w:styleId="af2">
    <w:name w:val="标题 字符"/>
    <w:basedOn w:val="a1"/>
    <w:link w:val="af1"/>
    <w:uiPriority w:val="99"/>
    <w:qFormat/>
    <w:locked/>
    <w:rPr>
      <w:rFonts w:ascii="Cambria" w:eastAsia="宋体" w:hAnsi="Cambria" w:cs="Times New Roman"/>
      <w:b/>
      <w:bCs/>
      <w:sz w:val="32"/>
      <w:szCs w:val="32"/>
    </w:rPr>
  </w:style>
  <w:style w:type="character" w:customStyle="1" w:styleId="a7">
    <w:name w:val="文档结构图 字符"/>
    <w:basedOn w:val="a1"/>
    <w:link w:val="a6"/>
    <w:uiPriority w:val="99"/>
    <w:semiHidden/>
    <w:qFormat/>
    <w:locked/>
    <w:rPr>
      <w:rFonts w:ascii="Times New Roman" w:hAnsi="Times New Roman" w:cs="Times New Roman"/>
      <w:kern w:val="0"/>
      <w:sz w:val="2"/>
    </w:rPr>
  </w:style>
  <w:style w:type="paragraph" w:customStyle="1" w:styleId="reader-word-layerreader-word-s1-5">
    <w:name w:val="reader-word-layer reader-word-s1-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pPr>
      <w:adjustRightInd/>
      <w:snapToGrid/>
      <w:spacing w:before="100" w:beforeAutospacing="1" w:after="100" w:afterAutospacing="1"/>
    </w:pPr>
    <w:rPr>
      <w:rFonts w:ascii="宋体" w:eastAsia="宋体" w:hAnsi="宋体" w:cs="宋体"/>
      <w:sz w:val="24"/>
      <w:szCs w:val="24"/>
    </w:rPr>
  </w:style>
  <w:style w:type="character" w:customStyle="1" w:styleId="a9">
    <w:name w:val="正文文本缩进 字符"/>
    <w:basedOn w:val="a1"/>
    <w:link w:val="a8"/>
    <w:uiPriority w:val="99"/>
    <w:semiHidden/>
    <w:qFormat/>
    <w:rPr>
      <w:rFonts w:ascii="Tahoma" w:hAnsi="Tahoma"/>
      <w:sz w:val="22"/>
      <w:szCs w:val="22"/>
    </w:rPr>
  </w:style>
  <w:style w:type="character" w:customStyle="1" w:styleId="20">
    <w:name w:val="正文文本首行缩进 2 字符"/>
    <w:basedOn w:val="a9"/>
    <w:link w:val="2"/>
    <w:uiPriority w:val="99"/>
    <w:semiHidden/>
    <w:qFormat/>
    <w:rPr>
      <w:rFonts w:ascii="Tahoma" w:hAnsi="Tahoma"/>
      <w:sz w:val="22"/>
      <w:szCs w:val="22"/>
    </w:rPr>
  </w:style>
  <w:style w:type="character" w:customStyle="1" w:styleId="30">
    <w:name w:val="标题 3 字符"/>
    <w:basedOn w:val="a1"/>
    <w:link w:val="3"/>
    <w:semiHidden/>
    <w:qFormat/>
    <w:rPr>
      <w:rFonts w:ascii="Tahoma" w:hAnsi="Tahoma"/>
      <w:b/>
      <w:bCs/>
      <w:sz w:val="32"/>
      <w:szCs w:val="32"/>
    </w:rPr>
  </w:style>
  <w:style w:type="paragraph" w:styleId="af5">
    <w:name w:val="List Paragraph"/>
    <w:basedOn w:val="a"/>
    <w:uiPriority w:val="99"/>
    <w:unhideWhenUsed/>
    <w:qFormat/>
    <w:pPr>
      <w:ind w:firstLineChars="200" w:firstLine="420"/>
    </w:pPr>
  </w:style>
  <w:style w:type="character" w:customStyle="1" w:styleId="ab">
    <w:name w:val="批注框文本 字符"/>
    <w:basedOn w:val="a1"/>
    <w:link w:val="aa"/>
    <w:uiPriority w:val="99"/>
    <w:semiHidden/>
    <w:qFormat/>
    <w:rPr>
      <w:rFonts w:ascii="Tahoma" w:hAnsi="Tahoma"/>
      <w:sz w:val="18"/>
      <w:szCs w:val="18"/>
    </w:rPr>
  </w:style>
  <w:style w:type="character" w:customStyle="1" w:styleId="fontstyle01">
    <w:name w:val="fontstyle01"/>
    <w:qFormat/>
    <w:rPr>
      <w:rFonts w:ascii="宋体" w:eastAsia="宋体" w:hAnsi="宋体" w:hint="eastAsia"/>
      <w:color w:val="000000"/>
      <w:sz w:val="24"/>
      <w:szCs w:val="24"/>
    </w:rPr>
  </w:style>
  <w:style w:type="paragraph" w:customStyle="1" w:styleId="10">
    <w:name w:val="修订1"/>
    <w:hidden/>
    <w:uiPriority w:val="99"/>
    <w:semiHidden/>
    <w:qFormat/>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1572</Words>
  <Characters>1731</Characters>
  <Application>Microsoft Office Word</Application>
  <DocSecurity>0</DocSecurity>
  <Lines>75</Lines>
  <Paragraphs>25</Paragraphs>
  <ScaleCrop>false</ScaleCrop>
  <Company>Microsoft</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Guardian Tales</cp:lastModifiedBy>
  <cp:revision>2</cp:revision>
  <cp:lastPrinted>2025-05-24T11:29:00Z</cp:lastPrinted>
  <dcterms:created xsi:type="dcterms:W3CDTF">2025-12-26T03:30:00Z</dcterms:created>
  <dcterms:modified xsi:type="dcterms:W3CDTF">2025-12-26T03:30:00Z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2AB9CE48ADB28FA6C3FA48694696A791</vt:lpwstr>
  </property>
  <property fmtid="{D5CDD505-2E9C-101B-9397-08002B2CF9AE}" pid="4" name="KSOTemplateDocerSaveRecord">
    <vt:lpwstr>eyJoZGlkIjoiNzM4ZGNhMmQzY2JkY2ZlMzdhOTZiOGFhNTE0ZjEwN2QiLCJ1c2VySWQiOiIxMjA2MzI0MDg0In0=</vt:lpwstr>
  </property>
</Properties>
</file>