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D954">
      <w:pPr>
        <w:pStyle w:val="2"/>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48</w:t>
      </w:r>
      <w:r>
        <w:rPr>
          <w:rFonts w:hint="eastAsia" w:ascii="仿宋_GB2312" w:hAnsi="仿宋" w:eastAsia="仿宋_GB2312"/>
          <w:color w:val="auto"/>
          <w:sz w:val="32"/>
          <w:szCs w:val="32"/>
        </w:rPr>
        <w:t>号</w:t>
      </w:r>
    </w:p>
    <w:p w14:paraId="46B42895">
      <w:pPr>
        <w:tabs>
          <w:tab w:val="left" w:pos="1021"/>
        </w:tabs>
        <w:spacing w:after="0" w:line="560" w:lineRule="exact"/>
        <w:jc w:val="center"/>
        <w:rPr>
          <w:rFonts w:hint="eastAsia" w:ascii="方正小标宋简体" w:eastAsia="方正小标宋简体" w:hAnsiTheme="majorEastAsia"/>
          <w:color w:val="auto"/>
          <w:sz w:val="44"/>
          <w:szCs w:val="44"/>
        </w:rPr>
      </w:pPr>
    </w:p>
    <w:p w14:paraId="02D40C2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14:paraId="3CFEB0E7">
      <w:pPr>
        <w:tabs>
          <w:tab w:val="left" w:pos="1021"/>
        </w:tabs>
        <w:spacing w:after="0" w:line="560" w:lineRule="exact"/>
        <w:jc w:val="center"/>
        <w:rPr>
          <w:rFonts w:hint="eastAsia" w:ascii="方正小标宋简体" w:eastAsia="方正小标宋简体" w:hAnsiTheme="majorEastAsia"/>
          <w:b w:val="0"/>
          <w:bCs w:val="0"/>
          <w:color w:val="auto"/>
          <w:sz w:val="44"/>
          <w:szCs w:val="44"/>
        </w:rPr>
      </w:pPr>
      <w:r>
        <w:rPr>
          <w:rFonts w:hint="eastAsia" w:ascii="方正小标宋简体" w:eastAsia="方正小标宋简体" w:hAnsiTheme="majorEastAsia"/>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val="en-US" w:eastAsia="zh-CN"/>
        </w:rPr>
        <w:t>汉寿县鸭子港金旺米业有限公司稻谷烘干及生物质锅炉改扩建</w:t>
      </w:r>
      <w:r>
        <w:rPr>
          <w:rFonts w:hint="eastAsia" w:ascii="方正小标宋简体" w:eastAsia="方正小标宋简体" w:hAnsiTheme="majorEastAsia"/>
          <w:b w:val="0"/>
          <w:bCs w:val="0"/>
          <w:color w:val="auto"/>
          <w:sz w:val="44"/>
          <w:szCs w:val="44"/>
          <w:lang w:val="en-US" w:eastAsia="zh-CN"/>
        </w:rPr>
        <w:t>项目</w:t>
      </w:r>
      <w:r>
        <w:rPr>
          <w:rFonts w:hint="eastAsia" w:ascii="方正小标宋简体" w:eastAsia="方正小标宋简体" w:hAnsiTheme="majorEastAsia"/>
          <w:b w:val="0"/>
          <w:bCs w:val="0"/>
          <w:color w:val="auto"/>
          <w:sz w:val="44"/>
          <w:szCs w:val="44"/>
        </w:rPr>
        <w:t>环境影响报告表的</w:t>
      </w:r>
    </w:p>
    <w:p w14:paraId="096A6085">
      <w:pPr>
        <w:tabs>
          <w:tab w:val="left" w:pos="1021"/>
        </w:tabs>
        <w:spacing w:after="0" w:line="560" w:lineRule="exact"/>
        <w:jc w:val="center"/>
        <w:rPr>
          <w:rFonts w:hint="eastAsia" w:ascii="方正小标宋简体" w:eastAsia="方正小标宋简体" w:hAnsiTheme="majorEastAsia"/>
          <w:b w:val="0"/>
          <w:bCs w:val="0"/>
          <w:color w:val="auto"/>
          <w:sz w:val="44"/>
          <w:szCs w:val="44"/>
        </w:rPr>
      </w:pPr>
      <w:r>
        <w:rPr>
          <w:rFonts w:hint="eastAsia" w:ascii="方正小标宋简体" w:eastAsia="方正小标宋简体" w:hAnsiTheme="majorEastAsia"/>
          <w:b w:val="0"/>
          <w:bCs w:val="0"/>
          <w:color w:val="auto"/>
          <w:sz w:val="44"/>
          <w:szCs w:val="44"/>
        </w:rPr>
        <w:t>批</w:t>
      </w:r>
      <w:r>
        <w:rPr>
          <w:rFonts w:hint="eastAsia" w:ascii="方正小标宋简体" w:eastAsia="方正小标宋简体" w:hAnsiTheme="majorEastAsia"/>
          <w:b w:val="0"/>
          <w:bCs w:val="0"/>
          <w:color w:val="auto"/>
          <w:sz w:val="44"/>
          <w:szCs w:val="44"/>
          <w:lang w:val="en-US" w:eastAsia="zh-CN"/>
        </w:rPr>
        <w:t xml:space="preserve">  </w:t>
      </w:r>
      <w:r>
        <w:rPr>
          <w:rFonts w:hint="eastAsia" w:ascii="方正小标宋简体" w:eastAsia="方正小标宋简体" w:hAnsiTheme="majorEastAsia"/>
          <w:b w:val="0"/>
          <w:bCs w:val="0"/>
          <w:color w:val="auto"/>
          <w:sz w:val="44"/>
          <w:szCs w:val="44"/>
        </w:rPr>
        <w:t>复</w:t>
      </w:r>
    </w:p>
    <w:p w14:paraId="51057D4C">
      <w:pPr>
        <w:spacing w:after="0" w:line="560" w:lineRule="exact"/>
        <w:jc w:val="both"/>
        <w:rPr>
          <w:rFonts w:hint="eastAsia" w:ascii="仿宋" w:hAnsi="仿宋" w:eastAsia="仿宋"/>
          <w:color w:val="auto"/>
          <w:kern w:val="2"/>
          <w:sz w:val="32"/>
          <w:szCs w:val="32"/>
        </w:rPr>
      </w:pPr>
    </w:p>
    <w:p w14:paraId="5AA4A22D">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汉寿县鸭子港金旺米业有限公司</w:t>
      </w:r>
      <w:r>
        <w:rPr>
          <w:rFonts w:hint="eastAsia" w:ascii="仿宋_GB2312" w:hAnsi="仿宋" w:eastAsia="仿宋_GB2312"/>
          <w:color w:val="auto"/>
          <w:sz w:val="32"/>
          <w:szCs w:val="32"/>
        </w:rPr>
        <w:t>：</w:t>
      </w:r>
    </w:p>
    <w:p w14:paraId="78EE82D1">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val="en-US" w:eastAsia="zh-CN"/>
        </w:rPr>
        <w:t>公司</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val="en-US" w:eastAsia="zh-CN"/>
        </w:rPr>
        <w:t>汉寿县鸭子港金旺米业有限公司稻谷烘干及生物质锅炉改扩建项目</w:t>
      </w:r>
      <w:r>
        <w:rPr>
          <w:rFonts w:hint="eastAsia" w:ascii="仿宋_GB2312" w:hAnsi="仿宋" w:eastAsia="仿宋_GB2312"/>
          <w:color w:val="auto"/>
          <w:kern w:val="2"/>
          <w:sz w:val="32"/>
          <w:szCs w:val="32"/>
        </w:rPr>
        <w:t>环境影响报告表》（报批稿）（以下简称“报告表”）和《关于申请对〈</w:t>
      </w:r>
      <w:r>
        <w:rPr>
          <w:rFonts w:hint="eastAsia" w:ascii="仿宋_GB2312" w:hAnsi="仿宋" w:eastAsia="仿宋_GB2312"/>
          <w:color w:val="auto"/>
          <w:kern w:val="2"/>
          <w:sz w:val="32"/>
          <w:szCs w:val="32"/>
          <w:lang w:val="en-US" w:eastAsia="zh-CN"/>
        </w:rPr>
        <w:t>稻谷烘干及生物质锅炉改扩建项目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val="en-US" w:eastAsia="zh-CN"/>
        </w:rPr>
        <w:t>及</w:t>
      </w:r>
      <w:r>
        <w:rPr>
          <w:rFonts w:hint="eastAsia" w:ascii="仿宋_GB2312" w:hAnsi="仿宋" w:eastAsia="仿宋_GB2312"/>
          <w:color w:val="auto"/>
          <w:kern w:val="2"/>
          <w:sz w:val="32"/>
          <w:szCs w:val="32"/>
        </w:rPr>
        <w:t>《报告表》网上公示期间未收到反馈意见的情况。经研究，批复如下：</w:t>
      </w:r>
    </w:p>
    <w:p w14:paraId="72921402">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14:paraId="20419D8A">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lang w:val="en-US" w:eastAsia="zh-CN"/>
        </w:rPr>
        <w:t>项目地址位于湖南省常德市汉寿县坡头镇鸭子港社区58号(东经：112度7分40.836秒，北纬：28度57分20.948秒)。汉寿县鸭子港金旺米业有限公司投资建设烘干稻谷项目，共建设有烘干稻谷生产线10条，该项目淘汰现有一台2</w:t>
      </w:r>
      <w:r>
        <w:rPr>
          <w:rFonts w:hint="eastAsia" w:ascii="仿宋_GB2312" w:hAnsi="仿宋" w:eastAsia="仿宋_GB2312"/>
          <w:b w:val="0"/>
          <w:bCs w:val="0"/>
          <w:color w:val="auto"/>
          <w:kern w:val="2"/>
          <w:sz w:val="32"/>
          <w:szCs w:val="32"/>
          <w:lang w:val="en-US" w:eastAsia="zh-CN"/>
        </w:rPr>
        <w:t>t/h固定炉排式生物质锅炉，拟新上一台2.5t/h卧式快装链条炉排生物质蒸汽锅炉，锅炉型号</w:t>
      </w:r>
      <w:r>
        <w:rPr>
          <w:rFonts w:hint="eastAsia" w:ascii="仿宋_GB2312" w:hAnsi="仿宋" w:eastAsia="仿宋_GB2312"/>
          <w:color w:val="auto"/>
          <w:kern w:val="2"/>
          <w:sz w:val="32"/>
          <w:szCs w:val="32"/>
          <w:lang w:val="en-US" w:eastAsia="zh-CN"/>
        </w:rPr>
        <w:t>DZL2.5-1.25-SW，锅炉燃料采用成型生物质颗粒。主要建设内容包括烘干车间、仓库、锅炉房、办公用房等及其他配套设施和辅助工程，主要生产工艺包括清理筛分、烘干、入库暂存等工序。</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val="en-US" w:eastAsia="zh-CN"/>
        </w:rPr>
        <w:t>总用地面积13329平方米，其中工业用地11329平方米，设施农用地2000平方米，项目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100</w:t>
      </w:r>
      <w:r>
        <w:rPr>
          <w:rFonts w:hint="eastAsia" w:ascii="仿宋_GB2312" w:hAnsi="仿宋" w:eastAsia="仿宋_GB2312"/>
          <w:color w:val="auto"/>
          <w:kern w:val="2"/>
          <w:sz w:val="32"/>
          <w:szCs w:val="32"/>
        </w:rPr>
        <w:t>万元，其中环保投资</w:t>
      </w:r>
      <w:r>
        <w:rPr>
          <w:rFonts w:hint="eastAsia" w:ascii="仿宋_GB2312" w:hAnsi="仿宋" w:eastAsia="仿宋_GB2312"/>
          <w:color w:val="auto"/>
          <w:kern w:val="2"/>
          <w:sz w:val="32"/>
          <w:szCs w:val="32"/>
          <w:lang w:val="en-US" w:eastAsia="zh-CN"/>
        </w:rPr>
        <w:t>15.5</w:t>
      </w:r>
      <w:r>
        <w:rPr>
          <w:rFonts w:hint="eastAsia" w:ascii="仿宋_GB2312" w:hAnsi="仿宋" w:eastAsia="仿宋_GB2312"/>
          <w:color w:val="auto"/>
          <w:kern w:val="2"/>
          <w:sz w:val="32"/>
          <w:szCs w:val="32"/>
        </w:rPr>
        <w:t>万元，占总投资的</w:t>
      </w:r>
      <w:r>
        <w:rPr>
          <w:rFonts w:hint="eastAsia" w:ascii="仿宋_GB2312" w:hAnsi="仿宋" w:eastAsia="仿宋_GB2312"/>
          <w:color w:val="auto"/>
          <w:kern w:val="2"/>
          <w:sz w:val="32"/>
          <w:szCs w:val="32"/>
          <w:lang w:val="en-US" w:eastAsia="zh-CN"/>
        </w:rPr>
        <w:t>15.5</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w:t>
      </w:r>
    </w:p>
    <w:p w14:paraId="1639784B">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分局的预审意见，项目符合国家产业政策</w:t>
      </w:r>
      <w:r>
        <w:rPr>
          <w:rFonts w:hint="eastAsia" w:ascii="仿宋_GB2312" w:hAnsi="仿宋" w:eastAsia="仿宋_GB2312"/>
          <w:color w:val="auto"/>
          <w:kern w:val="2"/>
          <w:sz w:val="32"/>
          <w:szCs w:val="32"/>
          <w:lang w:val="en-US" w:eastAsia="zh-CN"/>
        </w:rPr>
        <w:t>，</w:t>
      </w:r>
      <w:r>
        <w:rPr>
          <w:rFonts w:hint="eastAsia" w:ascii="仿宋_GB2312" w:hAnsi="仿宋" w:eastAsia="仿宋_GB2312"/>
          <w:color w:val="auto"/>
          <w:kern w:val="2"/>
          <w:sz w:val="32"/>
          <w:szCs w:val="32"/>
        </w:rPr>
        <w:t>符合《</w:t>
      </w:r>
      <w:r>
        <w:rPr>
          <w:rFonts w:hint="eastAsia" w:ascii="仿宋_GB2312" w:hAnsi="仿宋" w:eastAsia="仿宋_GB2312"/>
          <w:color w:val="auto"/>
          <w:kern w:val="2"/>
          <w:sz w:val="32"/>
          <w:szCs w:val="32"/>
          <w:lang w:val="en-US" w:eastAsia="zh-CN"/>
        </w:rPr>
        <w:t>常德市其他环境管控单元（省级及以上产业园区除外）</w:t>
      </w:r>
      <w:r>
        <w:rPr>
          <w:rFonts w:hint="eastAsia" w:ascii="仿宋_GB2312" w:hAnsi="仿宋" w:eastAsia="仿宋_GB2312"/>
          <w:color w:val="auto"/>
          <w:kern w:val="2"/>
          <w:sz w:val="32"/>
          <w:szCs w:val="32"/>
        </w:rPr>
        <w:t>生态环境准入清单</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2023年版</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》中明确的</w:t>
      </w:r>
      <w:r>
        <w:rPr>
          <w:rFonts w:hint="eastAsia" w:ascii="仿宋_GB2312" w:hAnsi="仿宋" w:eastAsia="仿宋_GB2312"/>
          <w:color w:val="auto"/>
          <w:kern w:val="2"/>
          <w:sz w:val="32"/>
          <w:szCs w:val="32"/>
          <w:lang w:val="en-US" w:eastAsia="zh-CN"/>
        </w:rPr>
        <w:t>管控</w:t>
      </w:r>
      <w:r>
        <w:rPr>
          <w:rFonts w:hint="eastAsia" w:ascii="仿宋_GB2312" w:hAnsi="仿宋" w:eastAsia="仿宋_GB2312"/>
          <w:color w:val="auto"/>
          <w:kern w:val="2"/>
          <w:sz w:val="32"/>
          <w:szCs w:val="32"/>
        </w:rPr>
        <w:t>要求</w:t>
      </w:r>
      <w:r>
        <w:rPr>
          <w:rFonts w:hint="eastAsia" w:ascii="仿宋_GB2312" w:hAnsi="仿宋" w:eastAsia="仿宋_GB2312"/>
          <w:color w:val="auto"/>
          <w:kern w:val="2"/>
          <w:sz w:val="32"/>
          <w:szCs w:val="32"/>
          <w:lang w:val="en-US" w:eastAsia="zh-CN"/>
        </w:rPr>
        <w:t>，</w:t>
      </w:r>
      <w:r>
        <w:rPr>
          <w:rFonts w:hint="eastAsia" w:ascii="仿宋_GB2312" w:hAnsi="仿宋" w:eastAsia="仿宋_GB2312"/>
          <w:color w:val="auto"/>
          <w:kern w:val="2"/>
          <w:sz w:val="32"/>
          <w:szCs w:val="32"/>
        </w:rPr>
        <w:t>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w:t>
      </w:r>
      <w:r>
        <w:rPr>
          <w:rFonts w:hint="eastAsia" w:ascii="仿宋_GB2312" w:hAnsi="仿宋" w:eastAsia="仿宋_GB2312"/>
          <w:color w:val="auto"/>
          <w:kern w:val="2"/>
          <w:sz w:val="32"/>
          <w:szCs w:val="32"/>
          <w:lang w:val="en-US" w:eastAsia="zh-CN"/>
        </w:rPr>
        <w:t>从环境保护角度</w:t>
      </w:r>
      <w:r>
        <w:rPr>
          <w:rFonts w:hint="eastAsia" w:ascii="仿宋_GB2312" w:hAnsi="仿宋" w:eastAsia="仿宋_GB2312"/>
          <w:color w:val="auto"/>
          <w:kern w:val="2"/>
          <w:sz w:val="32"/>
          <w:szCs w:val="32"/>
        </w:rPr>
        <w:t>我局原则同意项目建设。</w:t>
      </w:r>
    </w:p>
    <w:p w14:paraId="04C08842">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二、项目在营运生产过程中，须严格落实《报告表》提出的各项污染防治措施，着重做好以下工作：</w:t>
      </w:r>
    </w:p>
    <w:p w14:paraId="6F2C566E">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一</w:t>
      </w:r>
      <w:r>
        <w:rPr>
          <w:rFonts w:hint="eastAsia" w:ascii="仿宋_GB2312" w:hAnsi="仿宋" w:eastAsia="仿宋_GB2312"/>
          <w:color w:val="auto"/>
          <w:kern w:val="2"/>
          <w:sz w:val="32"/>
          <w:szCs w:val="32"/>
        </w:rPr>
        <w:t>）严格落实大气污染防治措施。</w:t>
      </w:r>
      <w:r>
        <w:rPr>
          <w:rFonts w:hint="eastAsia" w:ascii="仿宋_GB2312" w:hAnsi="仿宋" w:eastAsia="仿宋_GB2312"/>
          <w:color w:val="auto"/>
          <w:kern w:val="2"/>
          <w:sz w:val="32"/>
          <w:szCs w:val="32"/>
          <w:lang w:val="en-US" w:eastAsia="zh-CN"/>
        </w:rPr>
        <w:t>项目供热采用生物质蒸汽锅炉间接供热，生物质蒸汽锅炉燃用成型生物质颗粒，锅炉烟气采用旋风+布袋除尘器处理达标后经一根专用烟囱实施有组织高空排放，锅炉烟气污染物排放执行《锅炉大气污染物排放标准》（GB13271-2014）表3燃煤锅炉特别排放限值。烘干粉尘通过沉降室+布袋除尘器收尘，收尘尾气无组织排放。烘干稻谷内部转运仓储通过降低落料高程减少粉尘的产生，在落料点设置集气罩，落料粉尘通过集气罩收集后通过专用管道引至沉降室与烘干粉尘一并收尘处理。强化筛分间的封闭措施，对车间及时清扫，减少粉尘的产生。同时保持对沉降室的及时清灰，在清灰过程中采用洒水加湿抑尘；加强对布袋收尘器的维护，确保布袋收尘器的收尘效果。项目颗粒物厂界无组织排放执行《大气污染物综合排放标准》（GB16297-1996）中表2无组织排放监控浓度限值。</w:t>
      </w:r>
    </w:p>
    <w:p w14:paraId="1CC87673">
      <w:pPr>
        <w:widowControl w:val="0"/>
        <w:spacing w:after="0" w:line="560" w:lineRule="exact"/>
        <w:ind w:firstLine="640" w:firstLineChars="200"/>
        <w:jc w:val="both"/>
        <w:rPr>
          <w:rFonts w:hint="default"/>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二</w:t>
      </w:r>
      <w:r>
        <w:rPr>
          <w:rFonts w:hint="eastAsia" w:ascii="仿宋_GB2312" w:hAnsi="仿宋" w:eastAsia="仿宋_GB2312"/>
          <w:color w:val="auto"/>
          <w:kern w:val="2"/>
          <w:sz w:val="32"/>
          <w:szCs w:val="32"/>
        </w:rPr>
        <w:t>）严格落实水污染防治措施。</w:t>
      </w:r>
      <w:r>
        <w:rPr>
          <w:rFonts w:hint="eastAsia" w:ascii="仿宋_GB2312" w:hAnsi="仿宋" w:eastAsia="仿宋_GB2312"/>
          <w:color w:val="auto"/>
          <w:kern w:val="2"/>
          <w:sz w:val="32"/>
          <w:szCs w:val="32"/>
          <w:lang w:val="en-US" w:eastAsia="zh-CN"/>
        </w:rPr>
        <w:t>生活污水经化粪池</w:t>
      </w:r>
      <w:r>
        <w:rPr>
          <w:rFonts w:hint="eastAsia" w:ascii="仿宋_GB2312" w:hAnsi="仿宋" w:eastAsia="仿宋_GB2312"/>
          <w:color w:val="auto"/>
          <w:kern w:val="2"/>
          <w:sz w:val="32"/>
          <w:szCs w:val="32"/>
        </w:rPr>
        <w:t>预处理后</w:t>
      </w:r>
      <w:r>
        <w:rPr>
          <w:rFonts w:hint="eastAsia" w:ascii="仿宋_GB2312" w:hAnsi="仿宋" w:eastAsia="仿宋_GB2312"/>
          <w:color w:val="auto"/>
          <w:kern w:val="2"/>
          <w:sz w:val="32"/>
          <w:szCs w:val="32"/>
          <w:lang w:val="en-US" w:eastAsia="zh-CN"/>
        </w:rPr>
        <w:t>用于周边农田施肥不外排。锅炉废水用于沉降室清灰降尘、洗手间冲洗和厂区绿化浇灌等不外排</w:t>
      </w:r>
      <w:r>
        <w:rPr>
          <w:rFonts w:hint="eastAsia" w:ascii="仿宋_GB2312" w:hAnsi="仿宋" w:eastAsia="仿宋_GB2312"/>
          <w:color w:val="auto"/>
          <w:kern w:val="2"/>
          <w:sz w:val="32"/>
          <w:szCs w:val="32"/>
          <w:lang w:eastAsia="zh-CN"/>
        </w:rPr>
        <w:t>。</w:t>
      </w:r>
    </w:p>
    <w:p w14:paraId="21B214F3">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（三）严格落实固体废物收集和处置措施。</w:t>
      </w:r>
      <w:r>
        <w:rPr>
          <w:rFonts w:hint="eastAsia" w:ascii="仿宋_GB2312" w:hAnsi="仿宋" w:eastAsia="仿宋_GB2312"/>
          <w:color w:val="auto"/>
          <w:kern w:val="2"/>
          <w:sz w:val="32"/>
          <w:szCs w:val="32"/>
          <w:lang w:val="en-US" w:eastAsia="zh-CN"/>
        </w:rPr>
        <w:t>固体废物的处置遵循“减量化、资源化、无害化”原则，一般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p>
    <w:p w14:paraId="0EEF836E">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（四）严格落实噪声污染防治措施。优化总平面布局，选用低噪声设备，对高噪声设备采取</w:t>
      </w:r>
      <w:r>
        <w:rPr>
          <w:rFonts w:hint="eastAsia" w:ascii="仿宋_GB2312" w:hAnsi="仿宋" w:eastAsia="仿宋_GB2312"/>
          <w:color w:val="auto"/>
          <w:kern w:val="2"/>
          <w:sz w:val="32"/>
          <w:szCs w:val="32"/>
          <w:lang w:val="en-US" w:eastAsia="zh-CN"/>
        </w:rPr>
        <w:t>密闭和实体砖墙</w:t>
      </w:r>
      <w:r>
        <w:rPr>
          <w:rFonts w:hint="eastAsia" w:ascii="仿宋_GB2312" w:hAnsi="仿宋" w:eastAsia="仿宋_GB2312"/>
          <w:color w:val="auto"/>
          <w:kern w:val="2"/>
          <w:sz w:val="32"/>
          <w:szCs w:val="32"/>
        </w:rPr>
        <w:t>隔声</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基础减振等降噪措施，</w:t>
      </w:r>
      <w:r>
        <w:rPr>
          <w:rFonts w:hint="eastAsia" w:ascii="仿宋_GB2312" w:hAnsi="仿宋" w:eastAsia="仿宋_GB2312"/>
          <w:color w:val="auto"/>
          <w:kern w:val="2"/>
          <w:sz w:val="32"/>
          <w:szCs w:val="32"/>
          <w:lang w:val="en-US" w:eastAsia="zh-CN"/>
        </w:rPr>
        <w:t>同时注意对高噪声设备的检修和维护，调整高噪声设备的工作时段，尽量减少或者避免高噪声设备在夜间作业时间，</w:t>
      </w:r>
      <w:r>
        <w:rPr>
          <w:rFonts w:hint="eastAsia" w:ascii="仿宋_GB2312" w:hAnsi="仿宋" w:eastAsia="仿宋_GB2312"/>
          <w:color w:val="auto"/>
          <w:kern w:val="2"/>
          <w:sz w:val="32"/>
          <w:szCs w:val="32"/>
        </w:rPr>
        <w:t>确保厂界噪声达到《工业企业厂界环境噪声排放标准》（GB12348-2008）</w:t>
      </w: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rPr>
        <w:t>类标准</w:t>
      </w:r>
      <w:r>
        <w:rPr>
          <w:rFonts w:hint="eastAsia" w:ascii="仿宋_GB2312" w:hAnsi="仿宋" w:eastAsia="仿宋_GB2312"/>
          <w:color w:val="auto"/>
          <w:kern w:val="2"/>
          <w:sz w:val="32"/>
          <w:szCs w:val="32"/>
          <w:lang w:val="en-US" w:eastAsia="zh-CN"/>
        </w:rPr>
        <w:t>限值和周边居民声环境质量满足《声环境质量标准》（GB3096-2008）中2类区标准限值</w:t>
      </w:r>
      <w:r>
        <w:rPr>
          <w:rFonts w:hint="eastAsia" w:ascii="仿宋_GB2312" w:hAnsi="仿宋" w:eastAsia="仿宋_GB2312"/>
          <w:color w:val="auto"/>
          <w:kern w:val="2"/>
          <w:sz w:val="32"/>
          <w:szCs w:val="32"/>
        </w:rPr>
        <w:t>。</w:t>
      </w:r>
    </w:p>
    <w:p w14:paraId="30D3B7B6">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14:paraId="301ECC97">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四</w:t>
      </w:r>
      <w:r>
        <w:rPr>
          <w:rFonts w:hint="default" w:ascii="仿宋_GB2312" w:hAnsi="仿宋" w:eastAsia="仿宋_GB2312"/>
          <w:color w:val="auto"/>
          <w:kern w:val="2"/>
          <w:sz w:val="32"/>
          <w:szCs w:val="32"/>
          <w:lang w:val="en-US" w:eastAsia="zh-CN"/>
        </w:rPr>
        <w:t>、严格落实总量控制要求。根据《报告表》核定</w:t>
      </w:r>
      <w:r>
        <w:rPr>
          <w:rFonts w:hint="eastAsia" w:ascii="仿宋_GB2312" w:hAnsi="仿宋" w:eastAsia="仿宋_GB2312"/>
          <w:color w:val="auto"/>
          <w:kern w:val="2"/>
          <w:sz w:val="32"/>
          <w:szCs w:val="32"/>
          <w:lang w:val="en-US" w:eastAsia="zh-CN"/>
        </w:rPr>
        <w:t>：现有工程已有总量控制指标二氧化硫</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0.21</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，氮氧化物</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0.21</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，新增总量控制指标二氧化硫</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1.146</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，氮氧化物</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1.146</w:t>
      </w:r>
      <w:r>
        <w:rPr>
          <w:rFonts w:hint="default" w:ascii="仿宋_GB2312" w:hAnsi="仿宋" w:eastAsia="仿宋_GB2312"/>
          <w:color w:val="auto"/>
          <w:kern w:val="2"/>
          <w:sz w:val="32"/>
          <w:szCs w:val="32"/>
          <w:lang w:val="en-US" w:eastAsia="zh-CN"/>
        </w:rPr>
        <w:t>吨/年。</w:t>
      </w:r>
    </w:p>
    <w:p w14:paraId="133A5697">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五、《报告表</w:t>
      </w:r>
      <w:r>
        <w:rPr>
          <w:rFonts w:hint="eastAsia" w:ascii="仿宋_GB2312" w:hAnsi="仿宋" w:eastAsia="仿宋_GB2312"/>
          <w:color w:val="auto"/>
          <w:kern w:val="2"/>
          <w:sz w:val="32"/>
          <w:szCs w:val="32"/>
        </w:rPr>
        <w:t>》经批复后，项目的性质、规模、地点、采用的生产工艺或者防治污染、防止生态破坏的措施发生重大变动的，应当重新报批项目环境影响评价文件。</w:t>
      </w:r>
      <w:r>
        <w:rPr>
          <w:rFonts w:hint="eastAsia" w:ascii="仿宋_GB2312" w:hAnsi="仿宋" w:eastAsia="仿宋_GB2312"/>
          <w:color w:val="auto"/>
          <w:kern w:val="2"/>
          <w:sz w:val="32"/>
          <w:szCs w:val="32"/>
          <w:lang w:val="en-US" w:eastAsia="zh-CN"/>
        </w:rPr>
        <w:t>项目</w:t>
      </w:r>
      <w:r>
        <w:rPr>
          <w:rFonts w:hint="eastAsia" w:ascii="仿宋_GB2312" w:hAnsi="仿宋" w:eastAsia="仿宋_GB2312"/>
          <w:color w:val="auto"/>
          <w:kern w:val="2"/>
          <w:sz w:val="32"/>
          <w:szCs w:val="32"/>
        </w:rPr>
        <w:t>在实际排污之前须完善排污许可相关手续，并严格按规定程序实施竣工环境保护验收。</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w:t>
      </w:r>
    </w:p>
    <w:p w14:paraId="65F4052E">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分局具体负责。</w:t>
      </w:r>
    </w:p>
    <w:p w14:paraId="69857258">
      <w:pPr>
        <w:pStyle w:val="2"/>
        <w:rPr>
          <w:rFonts w:hint="eastAsia"/>
        </w:rPr>
      </w:pPr>
    </w:p>
    <w:p w14:paraId="0160FF3F">
      <w:pPr>
        <w:spacing w:after="0" w:line="560" w:lineRule="exact"/>
        <w:ind w:firstLine="5385" w:firstLineChars="1683"/>
        <w:rPr>
          <w:rFonts w:hint="eastAsia" w:ascii="仿宋_GB2312" w:eastAsia="仿宋_GB2312"/>
          <w:color w:val="auto"/>
          <w:sz w:val="32"/>
          <w:szCs w:val="32"/>
        </w:rPr>
      </w:pPr>
    </w:p>
    <w:p w14:paraId="34AD0958">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14:paraId="35E52B63">
      <w:pPr>
        <w:widowControl w:val="0"/>
        <w:spacing w:after="0" w:line="560" w:lineRule="exact"/>
        <w:ind w:firstLine="5385" w:firstLineChars="1683"/>
        <w:rPr>
          <w:rFonts w:hint="eastAsia" w:ascii="仿宋_GB2312" w:eastAsia="仿宋_GB2312"/>
          <w:color w:val="auto"/>
          <w:sz w:val="32"/>
          <w:szCs w:val="32"/>
        </w:rPr>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日</w:t>
      </w:r>
    </w:p>
    <w:p w14:paraId="66F0E663">
      <w:pPr>
        <w:pStyle w:val="2"/>
        <w:rPr>
          <w:rFonts w:hint="eastAsia"/>
        </w:rPr>
      </w:pPr>
      <w:bookmarkStart w:id="0" w:name="_GoBack"/>
      <w:bookmarkEnd w:id="0"/>
    </w:p>
    <w:p w14:paraId="7915E3AB">
      <w:pPr>
        <w:pStyle w:val="2"/>
        <w:rPr>
          <w:rFonts w:hint="eastAsia"/>
        </w:rPr>
      </w:pPr>
    </w:p>
    <w:p w14:paraId="3D03EC21">
      <w:pPr>
        <w:pStyle w:val="2"/>
        <w:rPr>
          <w:rFonts w:hint="eastAsia"/>
        </w:rPr>
      </w:pPr>
    </w:p>
    <w:p w14:paraId="5A68C147">
      <w:pPr>
        <w:pStyle w:val="2"/>
        <w:rPr>
          <w:rFonts w:hint="eastAsia"/>
        </w:rPr>
      </w:pPr>
    </w:p>
    <w:p w14:paraId="26ECD86C">
      <w:pPr>
        <w:pStyle w:val="2"/>
      </w:pPr>
    </w:p>
    <w:p w14:paraId="7362AD36">
      <w:pPr>
        <w:pStyle w:val="4"/>
        <w:ind w:left="0" w:leftChars="0" w:firstLine="0" w:firstLineChars="0"/>
      </w:pPr>
    </w:p>
    <w:p w14:paraId="1C2B9607">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8"/>
          <w:sz w:val="28"/>
          <w:szCs w:val="28"/>
          <w:lang w:val="en-GB"/>
        </w:rPr>
      </w:pPr>
      <w:r>
        <w:rPr>
          <w:rFonts w:hint="eastAsia" w:ascii="仿宋_GB2312" w:hAnsi="Times New Roman" w:eastAsia="仿宋_GB2312" w:cs="黑体"/>
          <w:color w:val="auto"/>
          <w:sz w:val="28"/>
          <w:szCs w:val="28"/>
        </w:rPr>
        <w:t>抄送：</w:t>
      </w:r>
      <w:r>
        <w:rPr>
          <w:rFonts w:hint="eastAsia" w:ascii="仿宋_GB2312" w:hAnsi="仿宋" w:eastAsia="仿宋_GB2312"/>
          <w:color w:val="auto"/>
          <w:spacing w:val="8"/>
          <w:sz w:val="28"/>
          <w:szCs w:val="28"/>
          <w:lang w:val="en-GB"/>
        </w:rPr>
        <w:t>常德市生态环境局</w:t>
      </w:r>
      <w:r>
        <w:rPr>
          <w:rFonts w:hint="eastAsia" w:ascii="仿宋_GB2312" w:hAnsi="仿宋" w:eastAsia="仿宋_GB2312"/>
          <w:color w:val="auto"/>
          <w:spacing w:val="8"/>
          <w:sz w:val="28"/>
          <w:szCs w:val="28"/>
          <w:lang w:val="en-US" w:eastAsia="zh-CN"/>
        </w:rPr>
        <w:t>汉寿</w:t>
      </w:r>
      <w:r>
        <w:rPr>
          <w:rFonts w:hint="eastAsia" w:ascii="仿宋_GB2312" w:hAnsi="仿宋" w:eastAsia="仿宋_GB2312"/>
          <w:color w:val="auto"/>
          <w:spacing w:val="8"/>
          <w:sz w:val="28"/>
          <w:szCs w:val="28"/>
          <w:lang w:val="en-GB"/>
        </w:rPr>
        <w:t>分局、</w:t>
      </w:r>
      <w:r>
        <w:rPr>
          <w:rFonts w:hint="eastAsia" w:ascii="仿宋_GB2312" w:hAnsi="仿宋" w:eastAsia="仿宋_GB2312"/>
          <w:color w:val="auto"/>
          <w:sz w:val="28"/>
          <w:szCs w:val="28"/>
        </w:rPr>
        <w:t>湖南</w:t>
      </w:r>
      <w:r>
        <w:rPr>
          <w:rFonts w:hint="eastAsia" w:ascii="仿宋_GB2312" w:hAnsi="仿宋" w:eastAsia="仿宋_GB2312"/>
          <w:color w:val="auto"/>
          <w:sz w:val="28"/>
          <w:szCs w:val="28"/>
          <w:lang w:val="en-US" w:eastAsia="zh-CN"/>
        </w:rPr>
        <w:t>净绿环保科技有限公司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C973C3A1-AB0A-4424-BC6B-3EE384585712}"/>
  </w:font>
  <w:font w:name="宋体">
    <w:panose1 w:val="02010600030101010101"/>
    <w:charset w:val="86"/>
    <w:family w:val="auto"/>
    <w:pitch w:val="default"/>
    <w:sig w:usb0="00000003" w:usb1="288F0000" w:usb2="00000006" w:usb3="00000000" w:csb0="00040001" w:csb1="00000000"/>
    <w:embedRegular r:id="rId2" w:fontKey="{9ED3CC09-CBD8-4FD4-94FB-1554F132D533}"/>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8E0C2001-3AF3-4AEE-B0D0-52BADA73C0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5E74744-488F-42A9-8A1F-5E1B08C0C25C}"/>
  </w:font>
  <w:font w:name="仿宋">
    <w:panose1 w:val="02010609060101010101"/>
    <w:charset w:val="86"/>
    <w:family w:val="modern"/>
    <w:pitch w:val="default"/>
    <w:sig w:usb0="800002BF" w:usb1="38CF7CFA" w:usb2="00000016" w:usb3="00000000" w:csb0="00040001" w:csb1="00000000"/>
    <w:embedRegular r:id="rId5" w:fontKey="{5D6B1998-23C1-45D6-BA26-361F912908E7}"/>
  </w:font>
  <w:font w:name="方正小标宋简体">
    <w:panose1 w:val="03000509000000000000"/>
    <w:charset w:val="86"/>
    <w:family w:val="script"/>
    <w:pitch w:val="default"/>
    <w:sig w:usb0="00000001" w:usb1="080E0000" w:usb2="00000000" w:usb3="00000000" w:csb0="00040000" w:csb1="00000000"/>
    <w:embedRegular r:id="rId6" w:fontKey="{E85AF839-7898-491B-B922-975381BDCF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8658435"/>
    </w:sdtPr>
    <w:sdtEndPr>
      <w:rPr>
        <w:rFonts w:ascii="宋体" w:hAnsi="宋体" w:eastAsia="宋体"/>
        <w:sz w:val="24"/>
        <w:szCs w:val="24"/>
      </w:rPr>
    </w:sdtEndPr>
    <w:sdtContent>
      <w:p w14:paraId="63F73544">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14:paraId="1DC35D4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0236367"/>
    </w:sdtPr>
    <w:sdtEndPr>
      <w:rPr>
        <w:rFonts w:ascii="宋体" w:hAnsi="宋体" w:eastAsia="宋体"/>
        <w:sz w:val="24"/>
        <w:szCs w:val="24"/>
      </w:rPr>
    </w:sdtEndPr>
    <w:sdtContent>
      <w:p w14:paraId="3A61ACFE">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50366450">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BB49">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596B"/>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5E94370"/>
    <w:rsid w:val="06A734ED"/>
    <w:rsid w:val="06F34995"/>
    <w:rsid w:val="078C4A45"/>
    <w:rsid w:val="09183FD8"/>
    <w:rsid w:val="0A4B228E"/>
    <w:rsid w:val="0AED1E94"/>
    <w:rsid w:val="0EA05C41"/>
    <w:rsid w:val="0FAA0BE0"/>
    <w:rsid w:val="0FF47601"/>
    <w:rsid w:val="140A38CC"/>
    <w:rsid w:val="1C31474A"/>
    <w:rsid w:val="1EF44EEF"/>
    <w:rsid w:val="1F080B8F"/>
    <w:rsid w:val="1F7765AA"/>
    <w:rsid w:val="1F7E4C13"/>
    <w:rsid w:val="1FAC763C"/>
    <w:rsid w:val="20B1764F"/>
    <w:rsid w:val="24BD7B04"/>
    <w:rsid w:val="2B472954"/>
    <w:rsid w:val="2C285AA0"/>
    <w:rsid w:val="30666798"/>
    <w:rsid w:val="31F841F8"/>
    <w:rsid w:val="348B5781"/>
    <w:rsid w:val="372E18EF"/>
    <w:rsid w:val="383E64EC"/>
    <w:rsid w:val="387500C6"/>
    <w:rsid w:val="396C5641"/>
    <w:rsid w:val="3C5A06E6"/>
    <w:rsid w:val="401D79A6"/>
    <w:rsid w:val="403B1546"/>
    <w:rsid w:val="4199493D"/>
    <w:rsid w:val="430C6815"/>
    <w:rsid w:val="453D0594"/>
    <w:rsid w:val="490D512B"/>
    <w:rsid w:val="49DE3B6B"/>
    <w:rsid w:val="4A1E18DE"/>
    <w:rsid w:val="4A931FF6"/>
    <w:rsid w:val="4B010851"/>
    <w:rsid w:val="4F9C6C6C"/>
    <w:rsid w:val="51D81635"/>
    <w:rsid w:val="538C1942"/>
    <w:rsid w:val="539047F4"/>
    <w:rsid w:val="53C462EF"/>
    <w:rsid w:val="549262E1"/>
    <w:rsid w:val="54BD5501"/>
    <w:rsid w:val="574918EA"/>
    <w:rsid w:val="5A7E0143"/>
    <w:rsid w:val="5ACB4688"/>
    <w:rsid w:val="5AF865A4"/>
    <w:rsid w:val="5E99556D"/>
    <w:rsid w:val="61C76C69"/>
    <w:rsid w:val="61CC6FDA"/>
    <w:rsid w:val="61D32628"/>
    <w:rsid w:val="65211CCA"/>
    <w:rsid w:val="669278AB"/>
    <w:rsid w:val="66D226BA"/>
    <w:rsid w:val="67207544"/>
    <w:rsid w:val="673501D1"/>
    <w:rsid w:val="68F2718B"/>
    <w:rsid w:val="6BCC627C"/>
    <w:rsid w:val="6C413068"/>
    <w:rsid w:val="6D4B1CE7"/>
    <w:rsid w:val="6ED91CC2"/>
    <w:rsid w:val="703B7464"/>
    <w:rsid w:val="706C18DA"/>
    <w:rsid w:val="70E877D7"/>
    <w:rsid w:val="71357517"/>
    <w:rsid w:val="72DE10A0"/>
    <w:rsid w:val="733610D9"/>
    <w:rsid w:val="74A00563"/>
    <w:rsid w:val="74C31BD7"/>
    <w:rsid w:val="754763C8"/>
    <w:rsid w:val="76B60AE7"/>
    <w:rsid w:val="76DC19C5"/>
    <w:rsid w:val="779B1FC5"/>
    <w:rsid w:val="7A84746C"/>
    <w:rsid w:val="7BF55DA7"/>
    <w:rsid w:val="7C2B603A"/>
    <w:rsid w:val="7D2F7F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locked/>
    <w:uiPriority w:val="9"/>
    <w:pPr>
      <w:keepNext/>
      <w:keepLines/>
      <w:spacing w:line="360" w:lineRule="auto"/>
      <w:outlineLvl w:val="0"/>
    </w:pPr>
    <w:rPr>
      <w:b/>
      <w:bCs/>
      <w:kern w:val="44"/>
      <w:sz w:val="30"/>
      <w:szCs w:val="44"/>
    </w:rPr>
  </w:style>
  <w:style w:type="paragraph" w:styleId="6">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pPr>
      <w:spacing w:after="120"/>
    </w:pPr>
  </w:style>
  <w:style w:type="paragraph" w:customStyle="1" w:styleId="3">
    <w:name w:val="xl27"/>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4">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7">
    <w:name w:val="Document Map"/>
    <w:basedOn w:val="1"/>
    <w:link w:val="24"/>
    <w:semiHidden/>
    <w:qFormat/>
    <w:uiPriority w:val="99"/>
    <w:pPr>
      <w:shd w:val="clear" w:color="auto" w:fill="000080"/>
    </w:p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2"/>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2"/>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7"/>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6"/>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1840</Words>
  <Characters>1978</Characters>
  <Lines>14</Lines>
  <Paragraphs>4</Paragraphs>
  <TotalTime>72</TotalTime>
  <ScaleCrop>false</ScaleCrop>
  <LinksUpToDate>false</LinksUpToDate>
  <CharactersWithSpaces>1980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2024-03-11T03:24:00Z</dcterms:created>
  <dc:creator>Administrator</dc:creator>
  <cp:lastModifiedBy>古月胡</cp:lastModifiedBy>
  <cp:lastPrinted>2025-05-21T03:29:00Z</cp:lastPrinted>
  <dcterms:modified xsi:type="dcterms:W3CDTF">2025-08-20T06:12:10Z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