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D954">
      <w:pPr>
        <w:pStyle w:val="2"/>
        <w:spacing w:before="1160" w:after="0" w:line="560" w:lineRule="exact"/>
        <w:jc w:val="right"/>
        <w:rPr>
          <w:rFonts w:ascii="仿宋_GB2312" w:eastAsia="仿宋_GB2312"/>
          <w:color w:val="auto"/>
        </w:rPr>
      </w:pPr>
      <w:bookmarkStart w:id="0" w:name="_GoBack"/>
      <w:bookmarkEnd w:id="0"/>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号</w:t>
      </w:r>
    </w:p>
    <w:p w14:paraId="46B42895">
      <w:pPr>
        <w:tabs>
          <w:tab w:val="left" w:pos="1021"/>
        </w:tabs>
        <w:spacing w:after="0" w:line="560" w:lineRule="exact"/>
        <w:jc w:val="center"/>
        <w:rPr>
          <w:rFonts w:hint="eastAsia" w:ascii="方正小标宋简体" w:eastAsia="方正小标宋简体" w:hAnsiTheme="majorEastAsia"/>
          <w:color w:val="auto"/>
          <w:sz w:val="44"/>
          <w:szCs w:val="44"/>
        </w:rPr>
      </w:pPr>
    </w:p>
    <w:p w14:paraId="02D40C2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096A6085">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val="en-US" w:eastAsia="zh-CN"/>
        </w:rPr>
        <w:t>常德</w:t>
      </w:r>
      <w:r>
        <w:rPr>
          <w:rFonts w:hint="eastAsia" w:ascii="方正小标宋简体" w:eastAsia="方正小标宋简体" w:hAnsiTheme="majorEastAsia"/>
          <w:b/>
          <w:bCs/>
          <w:color w:val="auto"/>
          <w:sz w:val="44"/>
          <w:szCs w:val="44"/>
          <w:lang w:val="en-US" w:eastAsia="zh-CN"/>
        </w:rPr>
        <w:t>飞沃装备制造</w:t>
      </w:r>
      <w:r>
        <w:rPr>
          <w:rFonts w:hint="eastAsia" w:ascii="方正小标宋简体" w:eastAsia="方正小标宋简体" w:hAnsiTheme="majorEastAsia"/>
          <w:color w:val="auto"/>
          <w:sz w:val="44"/>
          <w:szCs w:val="44"/>
          <w:lang w:val="en-US" w:eastAsia="zh-CN"/>
        </w:rPr>
        <w:t>有限公司</w:t>
      </w:r>
      <w:r>
        <w:rPr>
          <w:rFonts w:hint="eastAsia" w:ascii="方正小标宋简体" w:eastAsia="方正小标宋简体" w:hAnsiTheme="majorEastAsia"/>
          <w:b/>
          <w:bCs/>
          <w:color w:val="auto"/>
          <w:sz w:val="44"/>
          <w:szCs w:val="44"/>
          <w:lang w:val="en-US" w:eastAsia="zh-CN"/>
        </w:rPr>
        <w:t>风电混凝土塔筒</w:t>
      </w:r>
      <w:r>
        <w:rPr>
          <w:rFonts w:hint="eastAsia" w:ascii="方正小标宋简体" w:eastAsia="方正小标宋简体" w:hAnsiTheme="majorEastAsia"/>
          <w:color w:val="auto"/>
          <w:sz w:val="44"/>
          <w:szCs w:val="44"/>
        </w:rPr>
        <w:t>建设项目</w:t>
      </w:r>
      <w:r>
        <w:rPr>
          <w:rFonts w:hint="eastAsia" w:ascii="方正小标宋简体" w:eastAsia="方正小标宋简体" w:hAnsiTheme="majorEastAsia"/>
          <w:b/>
          <w:bCs/>
          <w:color w:val="auto"/>
          <w:sz w:val="44"/>
          <w:szCs w:val="44"/>
          <w:lang w:eastAsia="zh-CN"/>
        </w:rPr>
        <w:t>（</w:t>
      </w:r>
      <w:r>
        <w:rPr>
          <w:rFonts w:hint="eastAsia" w:ascii="方正小标宋简体" w:eastAsia="方正小标宋简体" w:hAnsiTheme="majorEastAsia"/>
          <w:b/>
          <w:bCs/>
          <w:color w:val="auto"/>
          <w:sz w:val="44"/>
          <w:szCs w:val="44"/>
          <w:lang w:val="en-US" w:eastAsia="zh-CN"/>
        </w:rPr>
        <w:t>一期</w:t>
      </w:r>
      <w:r>
        <w:rPr>
          <w:rFonts w:hint="eastAsia" w:ascii="方正小标宋简体" w:eastAsia="方正小标宋简体" w:hAnsiTheme="majorEastAsia"/>
          <w:b/>
          <w:bCs/>
          <w:color w:val="auto"/>
          <w:sz w:val="44"/>
          <w:szCs w:val="44"/>
          <w:lang w:eastAsia="zh-CN"/>
        </w:rPr>
        <w:t>）</w:t>
      </w:r>
      <w:r>
        <w:rPr>
          <w:rFonts w:hint="eastAsia" w:ascii="方正小标宋简体" w:eastAsia="方正小标宋简体" w:hAnsiTheme="majorEastAsia"/>
          <w:color w:val="auto"/>
          <w:sz w:val="44"/>
          <w:szCs w:val="44"/>
        </w:rPr>
        <w:t>环境影响报告表的批复</w:t>
      </w:r>
    </w:p>
    <w:p w14:paraId="51057D4C">
      <w:pPr>
        <w:spacing w:after="0" w:line="560" w:lineRule="exact"/>
        <w:jc w:val="both"/>
        <w:rPr>
          <w:rFonts w:hint="eastAsia" w:ascii="仿宋" w:hAnsi="仿宋" w:eastAsia="仿宋"/>
          <w:color w:val="auto"/>
          <w:kern w:val="2"/>
          <w:sz w:val="32"/>
          <w:szCs w:val="32"/>
        </w:rPr>
      </w:pPr>
    </w:p>
    <w:p w14:paraId="5AA4A22D">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常德飞沃装备制造</w:t>
      </w:r>
      <w:r>
        <w:rPr>
          <w:rFonts w:hint="eastAsia" w:ascii="仿宋_GB2312" w:hAnsi="仿宋" w:eastAsia="仿宋_GB2312"/>
          <w:color w:val="auto"/>
          <w:sz w:val="32"/>
          <w:szCs w:val="32"/>
        </w:rPr>
        <w:t>有限公司：</w:t>
      </w:r>
    </w:p>
    <w:p w14:paraId="78EE82D1">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你公司提交的《</w:t>
      </w:r>
      <w:r>
        <w:rPr>
          <w:rFonts w:hint="eastAsia" w:ascii="仿宋_GB2312" w:hAnsi="仿宋" w:eastAsia="仿宋_GB2312"/>
          <w:color w:val="auto"/>
          <w:kern w:val="2"/>
          <w:sz w:val="32"/>
          <w:szCs w:val="32"/>
          <w:lang w:val="en-US" w:eastAsia="zh-CN"/>
        </w:rPr>
        <w:t>常德飞沃装备制造有限公司风电混凝土塔筒</w:t>
      </w:r>
      <w:r>
        <w:rPr>
          <w:rFonts w:hint="eastAsia" w:ascii="仿宋_GB2312" w:hAnsi="仿宋" w:eastAsia="仿宋_GB2312"/>
          <w:color w:val="auto"/>
          <w:kern w:val="2"/>
          <w:sz w:val="32"/>
          <w:szCs w:val="32"/>
        </w:rPr>
        <w:t>建设项目</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一期</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环境影响报告表》（报批稿）（以下简称“报告表”）和《关于申请对〈</w:t>
      </w:r>
      <w:r>
        <w:rPr>
          <w:rFonts w:hint="eastAsia" w:ascii="仿宋_GB2312" w:hAnsi="仿宋" w:eastAsia="仿宋_GB2312"/>
          <w:color w:val="auto"/>
          <w:kern w:val="2"/>
          <w:sz w:val="32"/>
          <w:szCs w:val="32"/>
          <w:lang w:val="en-US" w:eastAsia="zh-CN"/>
        </w:rPr>
        <w:t>风电混凝土塔筒</w:t>
      </w:r>
      <w:r>
        <w:rPr>
          <w:rFonts w:hint="eastAsia" w:ascii="仿宋_GB2312" w:hAnsi="仿宋" w:eastAsia="仿宋_GB2312"/>
          <w:color w:val="auto"/>
          <w:kern w:val="2"/>
          <w:sz w:val="32"/>
          <w:szCs w:val="32"/>
        </w:rPr>
        <w:t>建设项目</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一期</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val="en-US" w:eastAsia="zh-CN"/>
        </w:rPr>
        <w:t>常德市西洞庭管理区发展改革统计局</w:t>
      </w:r>
      <w:r>
        <w:rPr>
          <w:rFonts w:hint="eastAsia" w:ascii="仿宋_GB2312" w:hAnsi="仿宋" w:eastAsia="仿宋_GB2312"/>
          <w:color w:val="auto"/>
          <w:kern w:val="2"/>
          <w:sz w:val="32"/>
          <w:szCs w:val="32"/>
        </w:rPr>
        <w:t>出具的</w:t>
      </w:r>
      <w:r>
        <w:rPr>
          <w:rFonts w:hint="eastAsia" w:ascii="仿宋_GB2312" w:hAnsi="仿宋" w:eastAsia="仿宋_GB2312"/>
          <w:color w:val="auto"/>
          <w:kern w:val="2"/>
          <w:sz w:val="32"/>
          <w:szCs w:val="32"/>
          <w:lang w:val="en-US" w:eastAsia="zh-CN"/>
        </w:rPr>
        <w:t>企业投资项目备案证</w:t>
      </w:r>
      <w:r>
        <w:rPr>
          <w:rFonts w:hint="eastAsia" w:ascii="仿宋_GB2312" w:hAnsi="仿宋" w:eastAsia="仿宋_GB2312"/>
          <w:color w:val="auto"/>
          <w:kern w:val="2"/>
          <w:sz w:val="32"/>
          <w:szCs w:val="32"/>
        </w:rPr>
        <w:t>（项目代码：250</w:t>
      </w:r>
      <w:r>
        <w:rPr>
          <w:rFonts w:hint="eastAsia" w:ascii="仿宋_GB2312" w:hAnsi="仿宋" w:eastAsia="仿宋_GB2312"/>
          <w:color w:val="auto"/>
          <w:kern w:val="2"/>
          <w:sz w:val="32"/>
          <w:szCs w:val="32"/>
          <w:lang w:val="en-US" w:eastAsia="zh-CN"/>
        </w:rPr>
        <w:t>3</w:t>
      </w:r>
      <w:r>
        <w:rPr>
          <w:rFonts w:hint="eastAsia" w:ascii="仿宋_GB2312" w:hAnsi="仿宋" w:eastAsia="仿宋_GB2312"/>
          <w:color w:val="auto"/>
          <w:kern w:val="2"/>
          <w:sz w:val="32"/>
          <w:szCs w:val="32"/>
        </w:rPr>
        <w:t>-4307</w:t>
      </w:r>
      <w:r>
        <w:rPr>
          <w:rFonts w:hint="eastAsia" w:ascii="仿宋_GB2312" w:hAnsi="仿宋" w:eastAsia="仿宋_GB2312"/>
          <w:color w:val="auto"/>
          <w:kern w:val="2"/>
          <w:sz w:val="32"/>
          <w:szCs w:val="32"/>
          <w:lang w:val="en-US" w:eastAsia="zh-CN"/>
        </w:rPr>
        <w:t>71</w:t>
      </w:r>
      <w:r>
        <w:rPr>
          <w:rFonts w:hint="eastAsia" w:ascii="仿宋_GB2312" w:hAnsi="仿宋" w:eastAsia="仿宋_GB2312"/>
          <w:color w:val="auto"/>
          <w:kern w:val="2"/>
          <w:sz w:val="32"/>
          <w:szCs w:val="32"/>
        </w:rPr>
        <w:t>-04-0</w:t>
      </w:r>
      <w:r>
        <w:rPr>
          <w:rFonts w:hint="eastAsia" w:ascii="仿宋_GB2312" w:hAnsi="仿宋" w:eastAsia="仿宋_GB2312"/>
          <w:color w:val="auto"/>
          <w:kern w:val="2"/>
          <w:sz w:val="32"/>
          <w:szCs w:val="32"/>
          <w:lang w:val="en-US" w:eastAsia="zh-CN"/>
        </w:rPr>
        <w:t>1</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438783</w:t>
      </w:r>
      <w:r>
        <w:rPr>
          <w:rFonts w:hint="eastAsia" w:ascii="仿宋_GB2312" w:hAnsi="仿宋" w:eastAsia="仿宋_GB2312"/>
          <w:color w:val="auto"/>
          <w:kern w:val="2"/>
          <w:sz w:val="32"/>
          <w:szCs w:val="32"/>
        </w:rPr>
        <w:t>）及《报告表》网上公示期间未收到反馈意见的情况。经研究，批复如下：</w:t>
      </w:r>
    </w:p>
    <w:p w14:paraId="72921402">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20419D8A">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val="en-US" w:eastAsia="zh-CN"/>
        </w:rPr>
        <w:t>项目地址位于西洞庭管理区金凤街道中洲社区沅澧大道以西，生活垃圾分类中转站以南常德飞沃装备制造有限公司厂区内(东经：111度58分36.634秒，北纬：29度13分38.020秒)。常德飞沃装备制造有限公司收购原湖南宙洋卫生用品有限公司土地、厂房、相关附属设施及设备资产，建设风电混凝土塔筒生产线建设项目（一期）。项目实施主要对原有厂房进行维修改造、对原有办公楼进行完善修建，并添置相关配套设备设施。项目拟建设风电混凝土塔筒生产线一条，主要建设内容包括标准化车间2栋、混凝土搅拌楼、砂石料堆棚、筒仓3个、养护区、检验楼、办公生活区等及其他配套设施和辅助工程，主要生产工艺包括搅拌、混凝土浇筑、养护、检验修复等工序。</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总用地面积39885.88平方米（59.83亩），总建筑面积13637.5平方米，项目</w:t>
      </w:r>
      <w:r>
        <w:rPr>
          <w:rFonts w:hint="eastAsia" w:ascii="仿宋_GB2312" w:hAnsi="仿宋" w:eastAsia="仿宋_GB2312"/>
          <w:color w:val="auto"/>
          <w:kern w:val="2"/>
          <w:sz w:val="32"/>
          <w:szCs w:val="32"/>
        </w:rPr>
        <w:t>总投资1000</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万元，其中环保投资10</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万元，占总投资的1.0%。项目建成后</w:t>
      </w:r>
      <w:r>
        <w:rPr>
          <w:rFonts w:hint="eastAsia" w:ascii="仿宋_GB2312" w:hAnsi="仿宋" w:eastAsia="仿宋_GB2312"/>
          <w:color w:val="auto"/>
          <w:kern w:val="2"/>
          <w:sz w:val="32"/>
          <w:szCs w:val="32"/>
          <w:lang w:val="en-US" w:eastAsia="zh-CN"/>
        </w:rPr>
        <w:t>主要利用砂石料、钢筋、水泥、矿粉、粉煤灰等原料</w:t>
      </w:r>
      <w:r>
        <w:rPr>
          <w:rFonts w:hint="eastAsia" w:ascii="仿宋_GB2312" w:hAnsi="仿宋" w:eastAsia="仿宋_GB2312"/>
          <w:color w:val="auto"/>
          <w:kern w:val="2"/>
          <w:sz w:val="32"/>
          <w:szCs w:val="32"/>
        </w:rPr>
        <w:t>年加工生产</w:t>
      </w:r>
      <w:r>
        <w:rPr>
          <w:rFonts w:hint="eastAsia" w:ascii="仿宋_GB2312" w:hAnsi="仿宋" w:eastAsia="仿宋_GB2312"/>
          <w:color w:val="auto"/>
          <w:kern w:val="2"/>
          <w:sz w:val="32"/>
          <w:szCs w:val="32"/>
          <w:lang w:val="en-US" w:eastAsia="zh-CN"/>
        </w:rPr>
        <w:t>风电混凝土塔筒150套</w:t>
      </w:r>
      <w:r>
        <w:rPr>
          <w:rFonts w:hint="eastAsia" w:ascii="仿宋_GB2312" w:hAnsi="仿宋" w:eastAsia="仿宋_GB2312"/>
          <w:color w:val="auto"/>
          <w:kern w:val="2"/>
          <w:sz w:val="32"/>
          <w:szCs w:val="32"/>
        </w:rPr>
        <w:t>。</w:t>
      </w:r>
    </w:p>
    <w:p w14:paraId="1639784B">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分局的预审意见，项目符合国家产业政策，选址位于</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产业开发区，符合《湖南省生态环境分区管控总体管控要求暨省级以上产业园区生态环境准入清单》（湘环函〔2024〕26号）中明确的生态环境分区管控及生态环境准入清单要求，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确保各项污染物稳定达标排放的前提下，我局原则同意项目建设。</w:t>
      </w:r>
    </w:p>
    <w:p w14:paraId="6760B9B0">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二、项目在建设和营运生产过程中，须严格落实《报告表》提出的各项污染防治措施，着重做好以下工作：</w:t>
      </w:r>
    </w:p>
    <w:p w14:paraId="04C08842">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（一）严格落实水污染防治措施。</w:t>
      </w:r>
      <w:r>
        <w:rPr>
          <w:rFonts w:hint="eastAsia" w:ascii="仿宋_GB2312" w:hAnsi="仿宋" w:eastAsia="仿宋_GB2312"/>
          <w:color w:val="auto"/>
          <w:kern w:val="2"/>
          <w:sz w:val="32"/>
          <w:szCs w:val="32"/>
          <w:lang w:val="en-US" w:eastAsia="zh-CN"/>
        </w:rPr>
        <w:t>项目厂区实行“雨污分流”。设置初期雨水收集系统，厂区初期雨水经初期雨水池收集沉淀处理后用于厂区绿植浇灌不外排。设备清洗废水和车辆冲洗废水经三级沉淀池沉淀处理后回用于生产不外排。生活污水依托厂区现有</w:t>
      </w:r>
      <w:r>
        <w:rPr>
          <w:rFonts w:hint="eastAsia" w:ascii="仿宋_GB2312" w:hAnsi="仿宋" w:eastAsia="仿宋_GB2312"/>
          <w:color w:val="auto"/>
          <w:kern w:val="2"/>
          <w:sz w:val="32"/>
          <w:szCs w:val="32"/>
        </w:rPr>
        <w:t>化粪池预处理后排入</w:t>
      </w:r>
      <w:r>
        <w:rPr>
          <w:rFonts w:hint="eastAsia" w:ascii="仿宋_GB2312" w:hAnsi="仿宋" w:eastAsia="仿宋_GB2312"/>
          <w:color w:val="auto"/>
          <w:kern w:val="2"/>
          <w:sz w:val="32"/>
          <w:szCs w:val="32"/>
          <w:lang w:val="en-US" w:eastAsia="zh-CN"/>
        </w:rPr>
        <w:t>沅澧大道园区</w:t>
      </w:r>
      <w:r>
        <w:rPr>
          <w:rFonts w:hint="eastAsia" w:ascii="仿宋_GB2312" w:hAnsi="仿宋" w:eastAsia="仿宋_GB2312"/>
          <w:color w:val="auto"/>
          <w:kern w:val="2"/>
          <w:sz w:val="32"/>
          <w:szCs w:val="32"/>
        </w:rPr>
        <w:t>污水管网，最后进入</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污水处理厂进一步处理达标后排放，</w:t>
      </w:r>
      <w:r>
        <w:rPr>
          <w:rFonts w:hint="eastAsia" w:ascii="仿宋_GB2312" w:hAnsi="仿宋" w:eastAsia="仿宋_GB2312"/>
          <w:color w:val="auto"/>
          <w:kern w:val="2"/>
          <w:sz w:val="32"/>
          <w:szCs w:val="32"/>
          <w:lang w:val="en-US" w:eastAsia="zh-CN"/>
        </w:rPr>
        <w:t>生活污水</w:t>
      </w:r>
      <w:r>
        <w:rPr>
          <w:rFonts w:hint="eastAsia" w:ascii="仿宋_GB2312" w:hAnsi="仿宋" w:eastAsia="仿宋_GB2312"/>
          <w:color w:val="auto"/>
          <w:kern w:val="2"/>
          <w:sz w:val="32"/>
          <w:szCs w:val="32"/>
        </w:rPr>
        <w:t>排入园区污水管网须达到《污水综合排放标准》（GB8978-1996）表4三级标准，同时满足</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污水处理厂进水水质要求。</w:t>
      </w:r>
    </w:p>
    <w:p w14:paraId="6F2C566E">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rPr>
        <w:t>（二）严格落实大气污染防治措施。</w:t>
      </w:r>
      <w:r>
        <w:rPr>
          <w:rFonts w:hint="eastAsia" w:ascii="仿宋_GB2312" w:hAnsi="仿宋" w:eastAsia="仿宋_GB2312"/>
          <w:color w:val="auto"/>
          <w:kern w:val="2"/>
          <w:sz w:val="32"/>
          <w:szCs w:val="32"/>
          <w:lang w:val="en-US" w:eastAsia="zh-CN"/>
        </w:rPr>
        <w:t>搅拌楼封闭，物料输送采用封闭式运输廊道，工艺粉尘采用布袋收尘器收尘，收尘尾气无组织排放。水泥、矿粉、粉煤灰筒仓顶部分别设置布袋除尘器收尘</w:t>
      </w:r>
      <w:r>
        <w:rPr>
          <w:rFonts w:hint="eastAsia" w:ascii="仿宋_GB2312" w:hAnsi="仿宋" w:eastAsia="仿宋_GB2312"/>
          <w:color w:val="auto"/>
          <w:kern w:val="2"/>
          <w:sz w:val="32"/>
          <w:szCs w:val="32"/>
        </w:rPr>
        <w:t>，收尘尾气无组织排放</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砂石料堆棚封闭，并设置喷雾装置抑尘。场地、厂区道路采取地面硬化，并及时洒水抑尘。厂区内设置冲洗平台，进出车辆须经冲洗平台冲洗，运输车辆采取覆盖措施抑尘。生产区安装视频监控系统、粉尘在线监控系统，收尘设施和生产设施电源开关并联同步控制、同步运行。项目无组织排放颗粒物执行《水泥工业大气污染物排放标准》（GB4915-2013）特别排放标准限值。</w:t>
      </w:r>
    </w:p>
    <w:p w14:paraId="21B214F3">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（三）严格落实固体废物收集和处置措施。生活垃圾设置垃圾桶收集暂存，交由环卫部门清运集中处置；</w:t>
      </w:r>
      <w:r>
        <w:rPr>
          <w:rFonts w:hint="eastAsia" w:ascii="仿宋_GB2312" w:hAnsi="仿宋" w:eastAsia="仿宋_GB2312"/>
          <w:color w:val="auto"/>
          <w:kern w:val="2"/>
          <w:sz w:val="32"/>
          <w:szCs w:val="32"/>
          <w:lang w:val="en-US" w:eastAsia="zh-CN"/>
        </w:rPr>
        <w:t>沉淀池沉渣和检验不合格产品及样品近期用于厂内养护区地基填埋，远期按建筑垃圾处置；收尘作为原材料回用于生产；切割钢筋边角料外售综合利用；废矿物油及沾染矿物油的废弃包装物设置危废暂存间收集暂存，定期交由有资质的单位处置。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r>
        <w:rPr>
          <w:rFonts w:hint="eastAsia" w:ascii="仿宋_GB2312" w:hAnsi="仿宋" w:eastAsia="仿宋_GB2312"/>
          <w:color w:val="auto"/>
          <w:kern w:val="2"/>
          <w:sz w:val="32"/>
          <w:szCs w:val="32"/>
          <w:lang w:val="en-US" w:eastAsia="zh-CN"/>
        </w:rPr>
        <w:t>危险废物的收集、暂存及转移符合《危险废物贮存污染物控制标准》（GB18597-2023）要求，</w:t>
      </w:r>
      <w:r>
        <w:rPr>
          <w:rFonts w:hint="eastAsia" w:ascii="仿宋_GB2312" w:hAnsi="仿宋" w:eastAsia="仿宋_GB2312"/>
          <w:color w:val="auto"/>
          <w:kern w:val="2"/>
          <w:sz w:val="32"/>
          <w:szCs w:val="32"/>
        </w:rPr>
        <w:t>防止二次污染。固体废物委托他人运输、利用、处置的，应当对受委托方的主体资格和技术能力进行核实，依法签订书面合同，在合同中约定污染防治要求。</w:t>
      </w:r>
    </w:p>
    <w:p w14:paraId="0EEF836E">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基础减振等降噪措施，确保厂界噪声达到《工业企业厂界环境噪声排放标准》（GB12348-2008）3类标准</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北侧、西侧和南侧</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和4类标准（东侧）</w:t>
      </w:r>
      <w:r>
        <w:rPr>
          <w:rFonts w:hint="eastAsia" w:ascii="仿宋_GB2312" w:hAnsi="仿宋" w:eastAsia="仿宋_GB2312"/>
          <w:color w:val="auto"/>
          <w:kern w:val="2"/>
          <w:sz w:val="32"/>
          <w:szCs w:val="32"/>
        </w:rPr>
        <w:t>。</w:t>
      </w:r>
    </w:p>
    <w:p w14:paraId="30D3B7B6">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1591BE33">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四</w:t>
      </w:r>
      <w:r>
        <w:rPr>
          <w:rFonts w:hint="eastAsia" w:ascii="仿宋_GB2312" w:hAnsi="仿宋" w:eastAsia="仿宋_GB2312"/>
          <w:color w:val="auto"/>
          <w:kern w:val="2"/>
          <w:sz w:val="32"/>
          <w:szCs w:val="32"/>
        </w:rPr>
        <w:t>、《报告表》经批复后，项目的性质、规模、地点、采用的生产工艺或者防治污染、防止生态破坏的措施发生重大变动的，应当重新报批项目环境影响评价文件。自批复之日起超过五年， 方决定建设项目开工建设的，其环境影响评价文件应报我局重新审核。</w:t>
      </w:r>
    </w:p>
    <w:p w14:paraId="133A5697">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val="en-US" w:eastAsia="zh-CN"/>
        </w:rPr>
        <w:t>五</w:t>
      </w:r>
      <w:r>
        <w:rPr>
          <w:rFonts w:hint="eastAsia" w:ascii="仿宋_GB2312" w:hAnsi="仿宋" w:eastAsia="仿宋_GB2312"/>
          <w:color w:val="auto"/>
          <w:kern w:val="2"/>
          <w:sz w:val="32"/>
          <w:szCs w:val="32"/>
        </w:rPr>
        <w:t>、项目建成后，在实际排污之前须完善排污许可相关手续，并严格按规定程序实施竣工环境保护验收。</w:t>
      </w:r>
    </w:p>
    <w:p w14:paraId="40E54421">
      <w:pPr>
        <w:widowControl w:val="0"/>
        <w:spacing w:after="0" w:line="56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西洞庭</w:t>
      </w:r>
      <w:r>
        <w:rPr>
          <w:rFonts w:hint="eastAsia" w:ascii="仿宋_GB2312" w:hAnsi="仿宋" w:eastAsia="仿宋_GB2312"/>
          <w:color w:val="auto"/>
          <w:kern w:val="2"/>
          <w:sz w:val="32"/>
          <w:szCs w:val="32"/>
        </w:rPr>
        <w:t>分局具体负责。</w:t>
      </w:r>
    </w:p>
    <w:p w14:paraId="48596E9D">
      <w:pPr>
        <w:pStyle w:val="2"/>
        <w:rPr>
          <w:rFonts w:hint="eastAsia" w:ascii="仿宋_GB2312" w:hAnsi="仿宋" w:eastAsia="仿宋_GB2312"/>
          <w:color w:val="FF0000"/>
          <w:sz w:val="32"/>
          <w:szCs w:val="32"/>
          <w:lang w:val="en-GB"/>
        </w:rPr>
      </w:pPr>
    </w:p>
    <w:p w14:paraId="6DFD9794">
      <w:pPr>
        <w:pStyle w:val="2"/>
        <w:spacing w:after="0" w:line="560" w:lineRule="exact"/>
        <w:rPr>
          <w:rFonts w:ascii="仿宋_GB2312" w:eastAsia="仿宋_GB2312"/>
          <w:color w:val="FF0000"/>
        </w:rPr>
      </w:pPr>
    </w:p>
    <w:p w14:paraId="34AD0958">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14:paraId="6D4C431E">
      <w:pPr>
        <w:widowControl w:val="0"/>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w:t>
      </w:r>
    </w:p>
    <w:p w14:paraId="4B925869"/>
    <w:p w14:paraId="5A863DCA">
      <w:pPr>
        <w:pStyle w:val="4"/>
        <w:rPr>
          <w:rFonts w:hint="eastAsia" w:eastAsia="宋体"/>
          <w:lang w:eastAsia="zh-CN"/>
        </w:rPr>
      </w:pPr>
    </w:p>
    <w:p w14:paraId="31FF571D">
      <w:pPr>
        <w:pStyle w:val="4"/>
      </w:pPr>
    </w:p>
    <w:p w14:paraId="3C516DEC">
      <w:pPr>
        <w:pStyle w:val="4"/>
      </w:pPr>
    </w:p>
    <w:p w14:paraId="6C6C41AB">
      <w:pPr>
        <w:pStyle w:val="4"/>
      </w:pPr>
    </w:p>
    <w:p w14:paraId="329E46EB">
      <w:pPr>
        <w:pStyle w:val="4"/>
      </w:pPr>
    </w:p>
    <w:p w14:paraId="45EA74FE">
      <w:pPr>
        <w:pStyle w:val="4"/>
      </w:pPr>
    </w:p>
    <w:p w14:paraId="78E37874">
      <w:pPr>
        <w:pStyle w:val="4"/>
      </w:pPr>
    </w:p>
    <w:p w14:paraId="1DA9908D">
      <w:pPr>
        <w:pStyle w:val="4"/>
      </w:pPr>
    </w:p>
    <w:p w14:paraId="2BDA027C">
      <w:pPr>
        <w:pStyle w:val="4"/>
      </w:pPr>
    </w:p>
    <w:p w14:paraId="38E47C31">
      <w:pPr>
        <w:pStyle w:val="4"/>
      </w:pPr>
    </w:p>
    <w:p w14:paraId="73634883">
      <w:pPr>
        <w:pStyle w:val="4"/>
      </w:pPr>
    </w:p>
    <w:p w14:paraId="5D3FA792">
      <w:pPr>
        <w:pStyle w:val="4"/>
      </w:pPr>
    </w:p>
    <w:p w14:paraId="5F8F0688">
      <w:pPr>
        <w:pStyle w:val="4"/>
      </w:pPr>
    </w:p>
    <w:p w14:paraId="0E3AF6C5">
      <w:pPr>
        <w:pStyle w:val="4"/>
      </w:pPr>
    </w:p>
    <w:p w14:paraId="522D0991">
      <w:pPr>
        <w:pStyle w:val="4"/>
      </w:pPr>
    </w:p>
    <w:p w14:paraId="08F7689F">
      <w:pPr>
        <w:pStyle w:val="4"/>
      </w:pPr>
    </w:p>
    <w:p w14:paraId="52199487">
      <w:pPr>
        <w:pStyle w:val="4"/>
      </w:pPr>
    </w:p>
    <w:p w14:paraId="622C604A">
      <w:pPr>
        <w:pStyle w:val="4"/>
      </w:pPr>
    </w:p>
    <w:p w14:paraId="7362AD36">
      <w:pPr>
        <w:pStyle w:val="4"/>
      </w:pPr>
    </w:p>
    <w:p w14:paraId="1C2B9607">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西洞庭</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净绿</w:t>
      </w:r>
      <w:r>
        <w:rPr>
          <w:rFonts w:hint="eastAsia" w:ascii="仿宋_GB2312" w:hAnsi="仿宋" w:eastAsia="仿宋_GB2312"/>
          <w:color w:val="auto"/>
          <w:sz w:val="28"/>
          <w:szCs w:val="28"/>
        </w:rPr>
        <w:t>环保科技有限公司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0BB31BF5-811C-494A-B1EE-8EC74557BE2D}"/>
  </w:font>
  <w:font w:name="宋体">
    <w:panose1 w:val="02010600030101010101"/>
    <w:charset w:val="86"/>
    <w:family w:val="auto"/>
    <w:pitch w:val="default"/>
    <w:sig w:usb0="00000203" w:usb1="288F0000" w:usb2="00000006" w:usb3="00000000" w:csb0="00040001" w:csb1="00000000"/>
    <w:embedRegular r:id="rId2" w:fontKey="{4F582365-32AA-40FA-960C-F99E4507D73E}"/>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1D3D052D-5CBC-4DCF-9B62-A700CF762A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3138FF6-57A7-4A09-9A31-E4CBACDA2DAB}"/>
  </w:font>
  <w:font w:name="仿宋">
    <w:panose1 w:val="02010609060101010101"/>
    <w:charset w:val="86"/>
    <w:family w:val="modern"/>
    <w:pitch w:val="default"/>
    <w:sig w:usb0="800002BF" w:usb1="38CF7CFA" w:usb2="00000016" w:usb3="00000000" w:csb0="00040001" w:csb1="00000000"/>
    <w:embedRegular r:id="rId5" w:fontKey="{6EC99D15-E3FD-4126-A5E3-96C299B60663}"/>
  </w:font>
  <w:font w:name="方正小标宋简体">
    <w:panose1 w:val="03000509000000000000"/>
    <w:charset w:val="86"/>
    <w:family w:val="script"/>
    <w:pitch w:val="default"/>
    <w:sig w:usb0="00000001" w:usb1="080E0000" w:usb2="00000000" w:usb3="00000000" w:csb0="00040000" w:csb1="00000000"/>
    <w:embedRegular r:id="rId6" w:fontKey="{91B9436B-613F-404B-A7B4-BEA3B2BDE7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8658435"/>
    </w:sdtPr>
    <w:sdtEndPr>
      <w:rPr>
        <w:rFonts w:ascii="宋体" w:hAnsi="宋体" w:eastAsia="宋体"/>
        <w:sz w:val="24"/>
        <w:szCs w:val="24"/>
      </w:rPr>
    </w:sdtEndPr>
    <w:sdtContent>
      <w:p w14:paraId="63F73544">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1DC35D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236367"/>
    </w:sdtPr>
    <w:sdtEndPr>
      <w:rPr>
        <w:rFonts w:ascii="宋体" w:hAnsi="宋体" w:eastAsia="宋体"/>
        <w:sz w:val="24"/>
        <w:szCs w:val="24"/>
      </w:rPr>
    </w:sdtEndPr>
    <w:sdtContent>
      <w:p w14:paraId="3A61ACFE">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0366450">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BB49">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ED1E94"/>
    <w:rsid w:val="0FF47601"/>
    <w:rsid w:val="1C31474A"/>
    <w:rsid w:val="1F7E4C13"/>
    <w:rsid w:val="20B1764F"/>
    <w:rsid w:val="24BD7B04"/>
    <w:rsid w:val="2B472954"/>
    <w:rsid w:val="348B5781"/>
    <w:rsid w:val="372E18EF"/>
    <w:rsid w:val="387500C6"/>
    <w:rsid w:val="396C5641"/>
    <w:rsid w:val="401D79A6"/>
    <w:rsid w:val="403B1546"/>
    <w:rsid w:val="4199493D"/>
    <w:rsid w:val="430C6815"/>
    <w:rsid w:val="453D0594"/>
    <w:rsid w:val="490D512B"/>
    <w:rsid w:val="49DE3B6B"/>
    <w:rsid w:val="4B010851"/>
    <w:rsid w:val="538C1942"/>
    <w:rsid w:val="5AF865A4"/>
    <w:rsid w:val="61C76C69"/>
    <w:rsid w:val="61D32628"/>
    <w:rsid w:val="66D226BA"/>
    <w:rsid w:val="68F2718B"/>
    <w:rsid w:val="6C413068"/>
    <w:rsid w:val="6D4B1CE7"/>
    <w:rsid w:val="6ED91CC2"/>
    <w:rsid w:val="706C18DA"/>
    <w:rsid w:val="71357517"/>
    <w:rsid w:val="72DE10A0"/>
    <w:rsid w:val="74A00563"/>
    <w:rsid w:val="754763C8"/>
    <w:rsid w:val="76DC19C5"/>
    <w:rsid w:val="7A84746C"/>
    <w:rsid w:val="7C2B603A"/>
    <w:rsid w:val="7D2F7F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2146</Words>
  <Characters>2276</Characters>
  <Lines>14</Lines>
  <Paragraphs>4</Paragraphs>
  <TotalTime>227</TotalTime>
  <ScaleCrop>false</ScaleCrop>
  <LinksUpToDate>false</LinksUpToDate>
  <CharactersWithSpaces>2277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2024-03-11T03:24:00Z</dcterms:created>
  <dc:creator>Administrator</dc:creator>
  <cp:lastModifiedBy>lenovo</cp:lastModifiedBy>
  <cp:lastPrinted>2025-05-21T03:29:00Z</cp:lastPrinted>
  <dcterms:modified xsi:type="dcterms:W3CDTF">2025-06-05T02:17:05Z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