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2C258">
      <w:pPr>
        <w:keepNext w:val="0"/>
        <w:keepLines w:val="0"/>
        <w:pageBreakBefore w:val="0"/>
        <w:widowControl w:val="0"/>
        <w:kinsoku/>
        <w:wordWrap/>
        <w:overflowPunct/>
        <w:topLinePunct w:val="0"/>
        <w:autoSpaceDE/>
        <w:autoSpaceDN/>
        <w:bidi w:val="0"/>
        <w:adjustRightInd/>
        <w:snapToGrid/>
        <w:spacing w:line="1160" w:lineRule="exact"/>
        <w:jc w:val="right"/>
        <w:textAlignment w:val="auto"/>
        <w:rPr>
          <w:rStyle w:val="11"/>
          <w:rFonts w:ascii="Times New Roman" w:hAnsi="Times New Roman" w:eastAsia="仿宋_GB2312"/>
          <w:color w:val="FF0000"/>
          <w:kern w:val="0"/>
          <w:sz w:val="28"/>
          <w:szCs w:val="28"/>
        </w:rPr>
      </w:pPr>
    </w:p>
    <w:p w14:paraId="036B75CA">
      <w:pPr>
        <w:keepNext w:val="0"/>
        <w:keepLines w:val="0"/>
        <w:pageBreakBefore w:val="0"/>
        <w:widowControl w:val="0"/>
        <w:kinsoku/>
        <w:overflowPunct/>
        <w:autoSpaceDE/>
        <w:autoSpaceDN/>
        <w:bidi w:val="0"/>
        <w:adjustRightInd/>
        <w:snapToGrid/>
        <w:spacing w:line="560" w:lineRule="exact"/>
        <w:jc w:val="right"/>
        <w:textAlignment w:val="auto"/>
        <w:rPr>
          <w:rStyle w:val="11"/>
          <w:rFonts w:ascii="Times New Roman" w:hAnsi="Times New Roman" w:eastAsia="仿宋_GB2312"/>
          <w:color w:val="auto"/>
          <w:kern w:val="0"/>
          <w:sz w:val="32"/>
          <w:szCs w:val="32"/>
        </w:rPr>
      </w:pPr>
      <w:r>
        <w:rPr>
          <w:rStyle w:val="11"/>
          <w:rFonts w:hint="eastAsia" w:ascii="Times New Roman" w:hAnsi="Times New Roman" w:eastAsia="仿宋_GB2312"/>
          <w:color w:val="auto"/>
          <w:kern w:val="0"/>
          <w:sz w:val="32"/>
          <w:szCs w:val="32"/>
        </w:rPr>
        <w:t>常环建</w:t>
      </w:r>
      <w:r>
        <w:rPr>
          <w:rStyle w:val="11"/>
          <w:rFonts w:ascii="Times New Roman" w:hAnsi="Times New Roman" w:eastAsia="仿宋_GB2312"/>
          <w:color w:val="auto"/>
          <w:kern w:val="0"/>
          <w:sz w:val="32"/>
          <w:szCs w:val="32"/>
          <w:lang w:val="zh-CN"/>
        </w:rPr>
        <w:t>〔202</w:t>
      </w:r>
      <w:r>
        <w:rPr>
          <w:rStyle w:val="11"/>
          <w:rFonts w:hint="eastAsia" w:ascii="Times New Roman" w:hAnsi="Times New Roman" w:eastAsia="仿宋_GB2312"/>
          <w:color w:val="auto"/>
          <w:kern w:val="0"/>
          <w:sz w:val="32"/>
          <w:szCs w:val="32"/>
        </w:rPr>
        <w:t>4</w:t>
      </w:r>
      <w:r>
        <w:rPr>
          <w:rStyle w:val="11"/>
          <w:rFonts w:ascii="Times New Roman" w:hAnsi="Times New Roman" w:eastAsia="仿宋_GB2312"/>
          <w:color w:val="auto"/>
          <w:kern w:val="0"/>
          <w:sz w:val="32"/>
          <w:szCs w:val="32"/>
          <w:lang w:val="zh-CN"/>
        </w:rPr>
        <w:t>〕</w:t>
      </w:r>
      <w:r>
        <w:rPr>
          <w:rStyle w:val="11"/>
          <w:rFonts w:hint="eastAsia" w:ascii="Times New Roman" w:hAnsi="Times New Roman" w:eastAsia="仿宋_GB2312"/>
          <w:color w:val="auto"/>
          <w:kern w:val="0"/>
          <w:sz w:val="32"/>
          <w:szCs w:val="32"/>
          <w:lang w:val="en-US"/>
        </w:rPr>
        <w:t>43</w:t>
      </w:r>
      <w:r>
        <w:rPr>
          <w:rStyle w:val="11"/>
          <w:rFonts w:hint="eastAsia" w:ascii="Times New Roman" w:hAnsi="Times New Roman" w:eastAsia="仿宋_GB2312"/>
          <w:color w:val="auto"/>
          <w:kern w:val="0"/>
          <w:sz w:val="32"/>
          <w:szCs w:val="32"/>
        </w:rPr>
        <w:t>号</w:t>
      </w:r>
    </w:p>
    <w:p w14:paraId="4C92797C">
      <w:pPr>
        <w:keepNext w:val="0"/>
        <w:keepLines w:val="0"/>
        <w:pageBreakBefore w:val="0"/>
        <w:widowControl w:val="0"/>
        <w:kinsoku/>
        <w:overflowPunct/>
        <w:autoSpaceDE/>
        <w:autoSpaceDN/>
        <w:bidi w:val="0"/>
        <w:adjustRightInd/>
        <w:snapToGrid/>
        <w:spacing w:line="560" w:lineRule="exact"/>
        <w:jc w:val="center"/>
        <w:textAlignment w:val="auto"/>
        <w:rPr>
          <w:rStyle w:val="11"/>
          <w:rFonts w:ascii="Times New Roman" w:hAnsi="Times New Roman" w:eastAsia="仿宋_GB2312"/>
          <w:color w:val="FF0000"/>
          <w:kern w:val="0"/>
          <w:sz w:val="28"/>
          <w:szCs w:val="28"/>
        </w:rPr>
      </w:pPr>
    </w:p>
    <w:p w14:paraId="2A4B5F3E">
      <w:pPr>
        <w:keepNext w:val="0"/>
        <w:keepLines w:val="0"/>
        <w:pageBreakBefore w:val="0"/>
        <w:widowControl w:val="0"/>
        <w:kinsoku/>
        <w:overflowPunct/>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asciiTheme="majorEastAsia" w:hAnsiTheme="majorEastAsia" w:eastAsiaTheme="majorEastAsia" w:cstheme="majorEastAsia"/>
          <w:b/>
          <w:bCs/>
          <w:sz w:val="44"/>
          <w:szCs w:val="44"/>
        </w:rPr>
        <w:t>常德市生态环境局</w:t>
      </w:r>
    </w:p>
    <w:p w14:paraId="7413EBE1">
      <w:pPr>
        <w:keepNext w:val="0"/>
        <w:keepLines w:val="0"/>
        <w:pageBreakBefore w:val="0"/>
        <w:widowControl w:val="0"/>
        <w:kinsoku/>
        <w:overflowPunct/>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asciiTheme="majorEastAsia" w:hAnsiTheme="majorEastAsia" w:eastAsiaTheme="majorEastAsia" w:cstheme="majorEastAsia"/>
          <w:b/>
          <w:bCs/>
          <w:sz w:val="44"/>
          <w:szCs w:val="44"/>
        </w:rPr>
        <w:t>关于</w:t>
      </w:r>
      <w:bookmarkStart w:id="0" w:name="_Hlk176935397"/>
      <w:r>
        <w:rPr>
          <w:rFonts w:asciiTheme="majorEastAsia" w:hAnsiTheme="majorEastAsia" w:eastAsiaTheme="majorEastAsia" w:cstheme="majorEastAsia"/>
          <w:b/>
          <w:bCs/>
          <w:sz w:val="44"/>
          <w:szCs w:val="44"/>
        </w:rPr>
        <w:t>湖南</w:t>
      </w:r>
      <w:r>
        <w:rPr>
          <w:rFonts w:hint="eastAsia" w:asciiTheme="majorEastAsia" w:hAnsiTheme="majorEastAsia" w:eastAsiaTheme="majorEastAsia" w:cstheme="majorEastAsia"/>
          <w:b/>
          <w:bCs/>
          <w:sz w:val="44"/>
          <w:szCs w:val="44"/>
        </w:rPr>
        <w:t>科益新生物医药</w:t>
      </w:r>
      <w:r>
        <w:rPr>
          <w:rFonts w:asciiTheme="majorEastAsia" w:hAnsiTheme="majorEastAsia" w:eastAsiaTheme="majorEastAsia" w:cstheme="majorEastAsia"/>
          <w:b/>
          <w:bCs/>
          <w:sz w:val="44"/>
          <w:szCs w:val="44"/>
        </w:rPr>
        <w:t>有限公司</w:t>
      </w:r>
      <w:r>
        <w:rPr>
          <w:rFonts w:hint="eastAsia" w:asciiTheme="majorEastAsia" w:hAnsiTheme="majorEastAsia" w:eastAsiaTheme="majorEastAsia" w:cstheme="majorEastAsia"/>
          <w:b/>
          <w:bCs/>
          <w:sz w:val="44"/>
          <w:szCs w:val="44"/>
        </w:rPr>
        <w:t>改扩建荷尔蒙、皮质激素系列产品及中间体二期工程</w:t>
      </w:r>
      <w:bookmarkEnd w:id="0"/>
      <w:r>
        <w:rPr>
          <w:rFonts w:asciiTheme="majorEastAsia" w:hAnsiTheme="majorEastAsia" w:eastAsiaTheme="majorEastAsia" w:cstheme="majorEastAsia"/>
          <w:b/>
          <w:bCs/>
          <w:sz w:val="44"/>
          <w:szCs w:val="44"/>
        </w:rPr>
        <w:t>环境影响报告书的批复</w:t>
      </w:r>
    </w:p>
    <w:p w14:paraId="3B4D1A76">
      <w:pPr>
        <w:keepNext w:val="0"/>
        <w:keepLines w:val="0"/>
        <w:pageBreakBefore w:val="0"/>
        <w:widowControl w:val="0"/>
        <w:kinsoku/>
        <w:overflowPunct/>
        <w:autoSpaceDE/>
        <w:autoSpaceDN/>
        <w:bidi w:val="0"/>
        <w:adjustRightInd/>
        <w:snapToGrid/>
        <w:spacing w:line="560" w:lineRule="exact"/>
        <w:ind w:firstLine="560" w:firstLineChars="200"/>
        <w:textAlignment w:val="auto"/>
        <w:rPr>
          <w:rStyle w:val="11"/>
          <w:rFonts w:ascii="Times New Roman" w:hAnsi="Times New Roman" w:eastAsia="仿宋_GB2312"/>
          <w:kern w:val="0"/>
          <w:sz w:val="28"/>
          <w:szCs w:val="28"/>
        </w:rPr>
      </w:pPr>
    </w:p>
    <w:p w14:paraId="14BE640D">
      <w:pPr>
        <w:keepNext w:val="0"/>
        <w:keepLines w:val="0"/>
        <w:pageBreakBefore w:val="0"/>
        <w:widowControl w:val="0"/>
        <w:kinsoku/>
        <w:overflowPunct/>
        <w:autoSpaceDE/>
        <w:autoSpaceDN/>
        <w:bidi w:val="0"/>
        <w:adjustRightInd/>
        <w:snapToGrid/>
        <w:spacing w:line="600" w:lineRule="exact"/>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湖南科益新生物医药有限公司：</w:t>
      </w:r>
    </w:p>
    <w:p w14:paraId="01E4E151">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Fonts w:hint="eastAsia" w:ascii="Times New Roman" w:hAnsi="Times New Roman" w:eastAsia="仿宋_GB2312"/>
          <w:kern w:val="0"/>
          <w:sz w:val="32"/>
          <w:szCs w:val="32"/>
        </w:rPr>
        <w:t>你公司《关于申请对湖南科益新生物医药有限公司改扩建荷尔蒙、皮质激素系列产品及中间体二期工程环境影响报告书进行审批的请示》及附送的《湖南科益新生物医药有限公司改扩建荷尔蒙、皮质激素系列产品及中间体二期工程环境影响报告书》（以下简称《报告书》）、《湖南科益新生物医药有限公司改扩建荷尔蒙、皮质激素系列产品及中间体二期工程环境影响评价公众参与说明》、常德市生态环境事务中心《湖南科益新生物医药有限公司改扩建荷尔蒙、皮质激素系列产品及中间体二期工程环境影响报告书技术评估报告》（常环评估〔2024〕20号）、常德市生态环境局津市分局对《报告书》的预审意见等资料收悉。经研究，批复如下：</w:t>
      </w:r>
    </w:p>
    <w:p w14:paraId="5EFBF344">
      <w:pPr>
        <w:keepNext w:val="0"/>
        <w:keepLines w:val="0"/>
        <w:pageBreakBefore w:val="0"/>
        <w:widowControl w:val="0"/>
        <w:numPr>
          <w:ilvl w:val="0"/>
          <w:numId w:val="1"/>
        </w:numPr>
        <w:kinsoku/>
        <w:overflowPunct/>
        <w:autoSpaceDE/>
        <w:autoSpaceDN/>
        <w:bidi w:val="0"/>
        <w:adjustRightInd/>
        <w:snapToGrid/>
        <w:spacing w:line="60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你公司改扩建荷尔蒙、皮质激素系列产品及中间体二期工程位于津市高新区津市大道001号</w:t>
      </w:r>
      <w:r>
        <w:rPr>
          <w:rStyle w:val="11"/>
          <w:rFonts w:hint="eastAsia" w:ascii="Times New Roman" w:hAnsi="Times New Roman" w:eastAsia="仿宋_GB2312"/>
          <w:kern w:val="0"/>
          <w:sz w:val="32"/>
          <w:szCs w:val="32"/>
        </w:rPr>
        <w:t>湖南科益新生物医药有限公司现有厂区内</w:t>
      </w:r>
      <w:r>
        <w:rPr>
          <w:rFonts w:hint="eastAsia" w:ascii="Times New Roman" w:hAnsi="Times New Roman" w:eastAsia="仿宋_GB2312"/>
          <w:kern w:val="0"/>
          <w:sz w:val="32"/>
          <w:szCs w:val="32"/>
        </w:rPr>
        <w:t>。2017年4月，公司取得《湖南省环境保护厅关于</w:t>
      </w:r>
      <w:r>
        <w:rPr>
          <w:rStyle w:val="11"/>
          <w:rFonts w:hint="eastAsia" w:ascii="Times New Roman" w:hAnsi="Times New Roman" w:eastAsia="仿宋_GB2312"/>
          <w:kern w:val="0"/>
          <w:sz w:val="32"/>
          <w:szCs w:val="32"/>
        </w:rPr>
        <w:t>湖南科益新生物医药有限公司</w:t>
      </w:r>
      <w:r>
        <w:rPr>
          <w:rFonts w:hint="eastAsia" w:ascii="Times New Roman" w:hAnsi="Times New Roman" w:eastAsia="仿宋_GB2312"/>
          <w:kern w:val="0"/>
          <w:sz w:val="32"/>
          <w:szCs w:val="32"/>
        </w:rPr>
        <w:t>年产1200吨甾体药物及中间体项目环境影响报告书的批复》（湘环评</w:t>
      </w:r>
      <w:r>
        <w:rPr>
          <w:rStyle w:val="11"/>
          <w:rFonts w:ascii="Times New Roman" w:hAnsi="Times New Roman" w:eastAsia="仿宋_GB2312"/>
          <w:kern w:val="0"/>
          <w:sz w:val="32"/>
          <w:szCs w:val="32"/>
          <w:lang w:val="zh-CN"/>
        </w:rPr>
        <w:t>〔20</w:t>
      </w:r>
      <w:r>
        <w:rPr>
          <w:rStyle w:val="11"/>
          <w:rFonts w:hint="eastAsia" w:ascii="Times New Roman" w:hAnsi="Times New Roman" w:eastAsia="仿宋_GB2312"/>
          <w:kern w:val="0"/>
          <w:sz w:val="32"/>
          <w:szCs w:val="32"/>
        </w:rPr>
        <w:t>17</w:t>
      </w:r>
      <w:r>
        <w:rPr>
          <w:rStyle w:val="11"/>
          <w:rFonts w:ascii="Times New Roman" w:hAnsi="Times New Roman" w:eastAsia="仿宋_GB2312"/>
          <w:kern w:val="0"/>
          <w:sz w:val="32"/>
          <w:szCs w:val="32"/>
          <w:lang w:val="zh-CN"/>
        </w:rPr>
        <w:t>〕</w:t>
      </w:r>
      <w:r>
        <w:rPr>
          <w:rFonts w:hint="eastAsia" w:ascii="Times New Roman" w:hAnsi="Times New Roman" w:eastAsia="仿宋_GB2312"/>
          <w:kern w:val="0"/>
          <w:sz w:val="32"/>
          <w:szCs w:val="32"/>
        </w:rPr>
        <w:t>第28号）。由于企业自身原因，该项目未建设投产，企业承诺该项目不再进行建设。2020年1月，公司取得《常德市生态环境局关于</w:t>
      </w:r>
      <w:r>
        <w:rPr>
          <w:rStyle w:val="11"/>
          <w:rFonts w:hint="eastAsia" w:ascii="Times New Roman" w:hAnsi="Times New Roman" w:eastAsia="仿宋_GB2312"/>
          <w:kern w:val="0"/>
          <w:sz w:val="32"/>
          <w:szCs w:val="32"/>
        </w:rPr>
        <w:t>湖南科益新生物医药有限公司</w:t>
      </w:r>
      <w:r>
        <w:rPr>
          <w:rFonts w:hint="eastAsia" w:ascii="Times New Roman" w:hAnsi="Times New Roman" w:eastAsia="仿宋_GB2312"/>
          <w:kern w:val="0"/>
          <w:sz w:val="32"/>
          <w:szCs w:val="32"/>
        </w:rPr>
        <w:t>改扩建荷尔蒙、皮质激素系列产品及中间体项目环境影响报告书的批复》 （常环建</w:t>
      </w:r>
      <w:r>
        <w:rPr>
          <w:rStyle w:val="11"/>
          <w:rFonts w:ascii="Times New Roman" w:hAnsi="Times New Roman" w:eastAsia="仿宋_GB2312"/>
          <w:kern w:val="0"/>
          <w:sz w:val="32"/>
          <w:szCs w:val="32"/>
          <w:lang w:val="zh-CN"/>
        </w:rPr>
        <w:t>〔20</w:t>
      </w:r>
      <w:r>
        <w:rPr>
          <w:rStyle w:val="11"/>
          <w:rFonts w:hint="eastAsia" w:ascii="Times New Roman" w:hAnsi="Times New Roman" w:eastAsia="仿宋_GB2312"/>
          <w:kern w:val="0"/>
          <w:sz w:val="32"/>
          <w:szCs w:val="32"/>
        </w:rPr>
        <w:t>20</w:t>
      </w:r>
      <w:r>
        <w:rPr>
          <w:rStyle w:val="11"/>
          <w:rFonts w:ascii="Times New Roman" w:hAnsi="Times New Roman" w:eastAsia="仿宋_GB2312"/>
          <w:kern w:val="0"/>
          <w:sz w:val="32"/>
          <w:szCs w:val="32"/>
          <w:lang w:val="zh-CN"/>
        </w:rPr>
        <w:t>〕</w:t>
      </w:r>
      <w:r>
        <w:rPr>
          <w:rFonts w:hint="eastAsia" w:ascii="Times New Roman" w:hAnsi="Times New Roman" w:eastAsia="仿宋_GB2312"/>
          <w:kern w:val="0"/>
          <w:sz w:val="32"/>
          <w:szCs w:val="32"/>
        </w:rPr>
        <w:t>4号）。</w:t>
      </w:r>
      <w:r>
        <w:rPr>
          <w:rFonts w:hint="eastAsia" w:ascii="Times New Roman" w:hAnsi="Times New Roman" w:eastAsia="仿宋_GB2312"/>
          <w:kern w:val="0"/>
          <w:sz w:val="32"/>
          <w:szCs w:val="32"/>
          <w:lang w:eastAsia="zh-CN"/>
        </w:rPr>
        <w:t>该</w:t>
      </w:r>
      <w:r>
        <w:rPr>
          <w:rFonts w:hint="eastAsia" w:ascii="Times New Roman" w:hAnsi="Times New Roman" w:eastAsia="仿宋_GB2312"/>
          <w:kern w:val="0"/>
          <w:sz w:val="32"/>
          <w:szCs w:val="32"/>
        </w:rPr>
        <w:t>项目建设2个主体车间（1#车间、3#车间），配置6条生产线，设计生产</w:t>
      </w:r>
      <w:r>
        <w:rPr>
          <w:rFonts w:hint="eastAsia" w:ascii="Times New Roman" w:hAnsi="Times New Roman" w:eastAsia="仿宋_GB2312"/>
          <w:color w:val="auto"/>
          <w:kern w:val="0"/>
          <w:sz w:val="32"/>
          <w:szCs w:val="32"/>
        </w:rPr>
        <w:t>倍他米松等11种产品，每年共计26.98吨。该项目于2022年4月组织完成阶段性竣工环保验收。本次改扩建工程新建2个生产车间（4#车间、5#车间）、</w:t>
      </w:r>
      <w:r>
        <w:rPr>
          <w:rFonts w:hint="eastAsia" w:ascii="Times New Roman" w:hAnsi="Times New Roman" w:eastAsia="仿宋_GB2312"/>
          <w:kern w:val="0"/>
          <w:sz w:val="32"/>
          <w:szCs w:val="32"/>
        </w:rPr>
        <w:t>改建1个K18车间。新增建设9条生产线，设计生产布地奈德等28种产品，每年共计237.97吨。</w:t>
      </w:r>
    </w:p>
    <w:p w14:paraId="048DACFD">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Fonts w:hint="eastAsia" w:ascii="Times New Roman" w:hAnsi="Times New Roman" w:eastAsia="仿宋_GB2312"/>
          <w:kern w:val="0"/>
          <w:sz w:val="32"/>
          <w:szCs w:val="32"/>
        </w:rPr>
        <w:t>根据《报告书》结论及常德市生态环境事务中心对《报告书》提出的“常环评估〔2024〕20号”技术评估</w:t>
      </w:r>
      <w:r>
        <w:rPr>
          <w:rFonts w:hint="eastAsia" w:ascii="Times New Roman" w:hAnsi="Times New Roman" w:eastAsia="仿宋_GB2312"/>
          <w:kern w:val="0"/>
          <w:sz w:val="32"/>
          <w:szCs w:val="32"/>
          <w:lang w:eastAsia="zh-CN"/>
        </w:rPr>
        <w:t>报告</w:t>
      </w:r>
      <w:r>
        <w:rPr>
          <w:rFonts w:hint="eastAsia" w:ascii="Times New Roman" w:hAnsi="Times New Roman" w:eastAsia="仿宋_GB2312"/>
          <w:kern w:val="0"/>
          <w:sz w:val="32"/>
          <w:szCs w:val="32"/>
        </w:rPr>
        <w:t>，结合《报告书》受理后在网上公示期间未收到反对意见的情况，在你公司全面落实《报告书》及本批复提出的污染防治和风险防范措施要求、确保各项污染物稳定达标排放的前提下，我局同意你公司按照《报告书》及本批复所列的工艺、地点、规模进行项目建设。</w:t>
      </w:r>
    </w:p>
    <w:p w14:paraId="1DE6B81B">
      <w:pPr>
        <w:keepNext w:val="0"/>
        <w:keepLines w:val="0"/>
        <w:pageBreakBefore w:val="0"/>
        <w:widowControl w:val="0"/>
        <w:kinsoku/>
        <w:overflowPunct/>
        <w:autoSpaceDE/>
        <w:autoSpaceDN/>
        <w:bidi w:val="0"/>
        <w:adjustRightInd/>
        <w:snapToGrid/>
        <w:spacing w:line="600" w:lineRule="exact"/>
        <w:ind w:firstLine="640" w:firstLineChars="200"/>
        <w:textAlignment w:val="auto"/>
        <w:rPr>
          <w:rFonts w:ascii="Times New Roman" w:hAnsi="Times New Roman" w:eastAsia="仿宋_GB2312"/>
          <w:kern w:val="0"/>
          <w:sz w:val="32"/>
          <w:szCs w:val="32"/>
        </w:rPr>
      </w:pPr>
      <w:bookmarkStart w:id="1" w:name="OLE_LINK26"/>
      <w:r>
        <w:rPr>
          <w:rFonts w:hint="eastAsia" w:ascii="Times New Roman" w:hAnsi="Times New Roman" w:eastAsia="仿宋_GB2312"/>
          <w:kern w:val="0"/>
          <w:sz w:val="32"/>
          <w:szCs w:val="32"/>
        </w:rPr>
        <w:t>二、</w:t>
      </w:r>
      <w:bookmarkEnd w:id="1"/>
      <w:r>
        <w:rPr>
          <w:rFonts w:hint="eastAsia" w:ascii="Times New Roman" w:hAnsi="Times New Roman" w:eastAsia="仿宋_GB2312"/>
          <w:kern w:val="0"/>
          <w:sz w:val="32"/>
          <w:szCs w:val="32"/>
        </w:rPr>
        <w:t>你公司在该项目设计、建设和运营过程中，还应着重做好以下工作：</w:t>
      </w:r>
    </w:p>
    <w:p w14:paraId="006EEC59">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一）防治水污染。结合现有工程进一步做好全厂雨污分流、清污分流、污污分流、分质处理工作。本工程含油废水、高氨氮废水、高浓度废水、高盐废水依托现有工程废水预处理装置处理后进入厂区污水处理站集中处理。新增含铬废水，配套建设MVR蒸发预处理设施。本项目污水排放执行《化学合成类制药工业水污染物排放标准》（GB 21904-2008）表2标准限值并同时满足津市工业园污水处理厂进水水质要求。以新带老完成厂区冷却塔升级改造，确保生产废水排放量满足激素及影响内分泌类产品单位产品基准排水量要求。规范初期雨水的收集处理措施，有效控制初期雨水环境风险。</w:t>
      </w:r>
    </w:p>
    <w:p w14:paraId="1D258C16">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（二）防治大气污染。进一步优化有机溶剂的回收和处理，提高回收效率，减少有机溶剂的使用，从源头控制污染物排放。</w:t>
      </w:r>
      <w:r>
        <w:rPr>
          <w:rFonts w:hint="eastAsia" w:ascii="Times New Roman" w:hAnsi="Times New Roman" w:eastAsia="仿宋_GB2312"/>
          <w:kern w:val="0"/>
          <w:sz w:val="32"/>
          <w:szCs w:val="32"/>
        </w:rPr>
        <w:t>有机溶剂均采用两级冷凝回收，对回收不凝气分类收集、分质处理。</w:t>
      </w:r>
      <w:r>
        <w:rPr>
          <w:rFonts w:hint="eastAsia" w:ascii="Times New Roman" w:hAnsi="Times New Roman" w:eastAsia="仿宋_GB2312"/>
          <w:kern w:val="0"/>
          <w:sz w:val="32"/>
          <w:szCs w:val="32"/>
          <w:lang w:eastAsia="zh-CN"/>
        </w:rPr>
        <w:t>新建</w:t>
      </w:r>
      <w:r>
        <w:rPr>
          <w:rFonts w:hint="eastAsia" w:ascii="Times New Roman" w:hAnsi="Times New Roman" w:eastAsia="仿宋_GB2312"/>
          <w:kern w:val="0"/>
          <w:sz w:val="32"/>
          <w:szCs w:val="32"/>
        </w:rPr>
        <w:t>车间</w:t>
      </w:r>
      <w:r>
        <w:rPr>
          <w:rFonts w:hint="eastAsia" w:ascii="Times New Roman" w:hAnsi="Times New Roman" w:eastAsia="仿宋_GB2312"/>
          <w:kern w:val="0"/>
          <w:sz w:val="32"/>
          <w:szCs w:val="32"/>
          <w:lang w:eastAsia="zh-CN"/>
        </w:rPr>
        <w:t>分别</w:t>
      </w:r>
      <w:r>
        <w:rPr>
          <w:rFonts w:hint="eastAsia" w:ascii="Times New Roman" w:hAnsi="Times New Roman" w:eastAsia="仿宋_GB2312"/>
          <w:kern w:val="0"/>
          <w:sz w:val="32"/>
          <w:szCs w:val="32"/>
        </w:rPr>
        <w:t>配置</w:t>
      </w:r>
      <w:r>
        <w:rPr>
          <w:rFonts w:hint="eastAsia" w:ascii="Times New Roman" w:hAnsi="Times New Roman" w:eastAsia="仿宋_GB2312"/>
          <w:kern w:val="0"/>
          <w:sz w:val="32"/>
          <w:szCs w:val="32"/>
          <w:lang w:eastAsia="zh-CN"/>
        </w:rPr>
        <w:t>一套</w:t>
      </w:r>
      <w:r>
        <w:rPr>
          <w:rFonts w:hint="eastAsia" w:ascii="Times New Roman" w:hAnsi="Times New Roman" w:eastAsia="仿宋_GB2312"/>
          <w:kern w:val="0"/>
          <w:sz w:val="32"/>
          <w:szCs w:val="32"/>
        </w:rPr>
        <w:t>“水喷淋+碱喷淋”塔，对不含卤素的不凝气和生产工艺废气采取“一级碱吸收+一级水吸收+气液分离”工艺预处理后，</w:t>
      </w:r>
      <w:r>
        <w:rPr>
          <w:rFonts w:hint="eastAsia" w:ascii="Times New Roman" w:hAnsi="Times New Roman" w:eastAsia="仿宋_GB2312"/>
          <w:kern w:val="0"/>
          <w:sz w:val="32"/>
          <w:szCs w:val="32"/>
          <w:lang w:eastAsia="zh-CN"/>
        </w:rPr>
        <w:t>依托</w:t>
      </w:r>
      <w:r>
        <w:rPr>
          <w:rFonts w:hint="eastAsia" w:ascii="Times New Roman" w:hAnsi="Times New Roman" w:eastAsia="仿宋_GB2312"/>
          <w:kern w:val="0"/>
          <w:sz w:val="32"/>
          <w:szCs w:val="32"/>
        </w:rPr>
        <w:t>已建成的RTO焚烧系统处理，最后通过25m排气筒（DA001）</w:t>
      </w:r>
      <w:r>
        <w:rPr>
          <w:rFonts w:hint="eastAsia" w:ascii="Times New Roman" w:hAnsi="Times New Roman" w:eastAsia="仿宋_GB2312"/>
          <w:kern w:val="0"/>
          <w:sz w:val="32"/>
          <w:szCs w:val="32"/>
          <w:lang w:eastAsia="zh-CN"/>
        </w:rPr>
        <w:t>集中</w:t>
      </w:r>
      <w:r>
        <w:rPr>
          <w:rFonts w:hint="eastAsia" w:ascii="Times New Roman" w:hAnsi="Times New Roman" w:eastAsia="仿宋_GB2312"/>
          <w:kern w:val="0"/>
          <w:sz w:val="32"/>
          <w:szCs w:val="32"/>
        </w:rPr>
        <w:t>排放</w:t>
      </w:r>
      <w:r>
        <w:rPr>
          <w:rFonts w:hint="eastAsia" w:ascii="Times New Roman" w:hAnsi="Times New Roman" w:eastAsia="仿宋_GB2312"/>
          <w:kern w:val="0"/>
          <w:sz w:val="32"/>
          <w:szCs w:val="32"/>
          <w:lang w:eastAsia="zh-CN"/>
        </w:rPr>
        <w:t>并实施在线监控</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企业应重点管控含卤素废气中新污染物（二氯甲烷、三氯甲烷）的产生和排放。</w:t>
      </w:r>
      <w:r>
        <w:rPr>
          <w:rFonts w:hint="eastAsia" w:ascii="Times New Roman" w:hAnsi="Times New Roman" w:eastAsia="仿宋_GB2312"/>
          <w:kern w:val="0"/>
          <w:sz w:val="32"/>
          <w:szCs w:val="32"/>
        </w:rPr>
        <w:t>对于含卤素的不凝气、工艺废气经专管收集至“两级树脂吸附+两级活性炭吸附”处理后</w:t>
      </w:r>
      <w:r>
        <w:rPr>
          <w:rFonts w:hint="eastAsia" w:ascii="Times New Roman" w:hAnsi="Times New Roman" w:eastAsia="仿宋_GB2312"/>
          <w:kern w:val="0"/>
          <w:sz w:val="32"/>
          <w:szCs w:val="32"/>
          <w:lang w:eastAsia="zh-CN"/>
        </w:rPr>
        <w:t>共用</w:t>
      </w:r>
      <w:r>
        <w:rPr>
          <w:rFonts w:hint="eastAsia" w:ascii="Times New Roman" w:hAnsi="Times New Roman" w:eastAsia="仿宋_GB2312"/>
          <w:kern w:val="0"/>
          <w:sz w:val="32"/>
          <w:szCs w:val="32"/>
          <w:lang w:val="en-US" w:eastAsia="zh-CN"/>
        </w:rPr>
        <w:t>DA001</w:t>
      </w:r>
      <w:r>
        <w:rPr>
          <w:rFonts w:hint="eastAsia" w:ascii="Times New Roman" w:hAnsi="Times New Roman" w:eastAsia="仿宋_GB2312"/>
          <w:kern w:val="0"/>
          <w:sz w:val="32"/>
          <w:szCs w:val="32"/>
          <w:lang w:eastAsia="zh-CN"/>
        </w:rPr>
        <w:t>排气筒排放（含</w:t>
      </w:r>
      <w:r>
        <w:rPr>
          <w:rFonts w:hint="eastAsia" w:ascii="Times New Roman" w:hAnsi="Times New Roman" w:eastAsia="仿宋_GB2312"/>
          <w:color w:val="auto"/>
          <w:kern w:val="0"/>
          <w:sz w:val="32"/>
          <w:szCs w:val="32"/>
          <w:lang w:eastAsia="zh-CN"/>
        </w:rPr>
        <w:t>卤素废气污染因子的采样点设置</w:t>
      </w:r>
      <w:r>
        <w:rPr>
          <w:rFonts w:hint="eastAsia" w:ascii="Times New Roman" w:hAnsi="Times New Roman" w:eastAsia="仿宋_GB2312"/>
          <w:kern w:val="0"/>
          <w:sz w:val="32"/>
          <w:szCs w:val="32"/>
          <w:lang w:eastAsia="zh-CN"/>
        </w:rPr>
        <w:t>在两股废气汇合之</w:t>
      </w:r>
      <w:r>
        <w:rPr>
          <w:rFonts w:hint="eastAsia" w:ascii="Times New Roman" w:hAnsi="Times New Roman" w:eastAsia="仿宋_GB2312"/>
          <w:color w:val="auto"/>
          <w:kern w:val="0"/>
          <w:sz w:val="32"/>
          <w:szCs w:val="32"/>
          <w:lang w:eastAsia="zh-CN"/>
        </w:rPr>
        <w:t>前）</w:t>
      </w:r>
      <w:r>
        <w:rPr>
          <w:rFonts w:hint="eastAsia" w:ascii="Times New Roman" w:hAnsi="Times New Roman" w:eastAsia="仿宋_GB2312"/>
          <w:color w:val="auto"/>
          <w:kern w:val="0"/>
          <w:sz w:val="32"/>
          <w:szCs w:val="32"/>
        </w:rPr>
        <w:t>。废气</w:t>
      </w:r>
      <w:r>
        <w:rPr>
          <w:rFonts w:hint="eastAsia" w:ascii="Times New Roman" w:hAnsi="Times New Roman" w:eastAsia="仿宋_GB2312"/>
          <w:color w:val="auto"/>
          <w:kern w:val="0"/>
          <w:sz w:val="32"/>
          <w:szCs w:val="32"/>
          <w:lang w:eastAsia="zh-CN"/>
        </w:rPr>
        <w:t>污染物</w:t>
      </w:r>
      <w:r>
        <w:rPr>
          <w:rFonts w:hint="eastAsia" w:ascii="Times New Roman" w:hAnsi="Times New Roman" w:eastAsia="仿宋_GB2312"/>
          <w:color w:val="auto"/>
          <w:kern w:val="0"/>
          <w:sz w:val="32"/>
          <w:szCs w:val="32"/>
        </w:rPr>
        <w:t>排放执行《制药工业大气污染物排放标准》（GB37823-2019），恶臭污染物排放执行《恶臭污染物排放标准》（GB14554-93）</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强化</w:t>
      </w:r>
      <w:r>
        <w:rPr>
          <w:rFonts w:hint="eastAsia" w:ascii="Times New Roman" w:hAnsi="Times New Roman" w:eastAsia="仿宋_GB2312"/>
          <w:kern w:val="0"/>
          <w:sz w:val="32"/>
          <w:szCs w:val="32"/>
        </w:rPr>
        <w:t>对物料储存、转移和输送、工艺过程、设备与管线组件、敞开液面VOCs无组织排放的收集措施</w:t>
      </w:r>
      <w:r>
        <w:rPr>
          <w:rFonts w:hint="eastAsia" w:ascii="Times New Roman" w:hAnsi="Times New Roman" w:eastAsia="仿宋_GB2312"/>
          <w:kern w:val="0"/>
          <w:sz w:val="32"/>
          <w:szCs w:val="32"/>
          <w:lang w:eastAsia="zh-CN"/>
        </w:rPr>
        <w:t>。</w:t>
      </w:r>
    </w:p>
    <w:p w14:paraId="60B8E414">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三）防治噪声污染。优化车间内平面布局，优选低噪声设备。采取隔声、消声、减振等降噪措施，确保南侧、西侧厂界噪声排放不超过《工业企业厂界环境噪声排放标准》（GB12348-2008）表1中3类限值；东侧、北侧厂界噪声排放不超过《工业企业厂界环境噪声排放标准》（GB12348-2008）表1中4类限值。</w:t>
      </w:r>
    </w:p>
    <w:p w14:paraId="5CB4DADC">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四）防治固废污染。严格按照“无害化、减量化、资源化”的原则做好固体废物的综合利用和安全处置工作。蒸馏及反应残余物、废母液及反应基废物、废脱色过滤介质、废吸附剂、含卤素有机废气吸附产生废活性炭、废树脂、废内包装材料、不合格、过期报废的药品、污水处理站污泥、隔油池废油、蒸发废盐、含铬废液均属于危险废物，依托现有700m</w:t>
      </w:r>
      <w:r>
        <w:rPr>
          <w:rStyle w:val="11"/>
          <w:rFonts w:hint="eastAsia" w:ascii="Times New Roman" w:hAnsi="Times New Roman" w:eastAsia="仿宋_GB2312"/>
          <w:kern w:val="0"/>
          <w:sz w:val="32"/>
          <w:szCs w:val="32"/>
          <w:vertAlign w:val="superscript"/>
        </w:rPr>
        <w:t>2</w:t>
      </w:r>
      <w:r>
        <w:rPr>
          <w:rStyle w:val="11"/>
          <w:rFonts w:hint="eastAsia" w:ascii="Times New Roman" w:hAnsi="Times New Roman" w:eastAsia="仿宋_GB2312"/>
          <w:kern w:val="0"/>
          <w:sz w:val="32"/>
          <w:szCs w:val="32"/>
        </w:rPr>
        <w:t>的危险废物暂存间暂存。危险废物严格执行危险废物转移联单管理规定，定期交法定资质单位处置。危险废</w:t>
      </w:r>
      <w:r>
        <w:rPr>
          <w:rStyle w:val="11"/>
          <w:rFonts w:hint="eastAsia" w:ascii="Times New Roman" w:hAnsi="Times New Roman" w:eastAsia="仿宋_GB2312"/>
          <w:color w:val="auto"/>
          <w:kern w:val="0"/>
          <w:sz w:val="32"/>
          <w:szCs w:val="32"/>
        </w:rPr>
        <w:t>物执行《危险废物贮存污染控制标准》（GB18597-2023）。副产碳酸锂在投产后应完善作为副产品的相关认证文件，否则应开展固废属性判定。一般</w:t>
      </w:r>
      <w:r>
        <w:rPr>
          <w:rStyle w:val="11"/>
          <w:rFonts w:hint="eastAsia" w:ascii="Times New Roman" w:hAnsi="Times New Roman" w:eastAsia="仿宋_GB2312"/>
          <w:kern w:val="0"/>
          <w:sz w:val="32"/>
          <w:szCs w:val="32"/>
        </w:rPr>
        <w:t>工业固体废物执行《一般工业固体废物贮存和填埋污染控制标准》（GB18599-2020）。</w:t>
      </w:r>
    </w:p>
    <w:p w14:paraId="4C9423BF">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五）防治土壤、地下水污染。地下水污染防治应按照“源头控制、分区防控、污染监控、应急响应”相结合的原则，落实分区防控措施。废水输送管道采取架空布置。定期组织开展土壤隐患排查，按要求开展地下水监测工作，控制土壤和地下水污染。</w:t>
      </w:r>
    </w:p>
    <w:p w14:paraId="022C6AB5">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 xml:space="preserve">（六）防范环境风险。进一步完善企业环境保护管理制度，及时修订突发环境事件应急预案，加强应急培训与演练。建立事故三级防控体系，做到风险情况下切断污染物与外部的通道，将污染控制在厂区内，防止重大事故泄漏物料和污染消防水造成的环境污染。设置1000立方米的事故废水应急池，确保生产区与事故池的有效导流。重污染天气应急期间，应严格按照《常德市重污染天气应急预案》、《常德市特护期工业源应急减排工作预案》要求，根据不同的预警等级，落实重污染天气应急响应措施。  </w:t>
      </w:r>
    </w:p>
    <w:p w14:paraId="772FF7F9">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三、本次改扩</w:t>
      </w:r>
      <w:r>
        <w:rPr>
          <w:rStyle w:val="11"/>
          <w:rFonts w:hint="eastAsia" w:ascii="Times New Roman" w:hAnsi="Times New Roman" w:eastAsia="仿宋_GB2312" w:cstheme="minorBidi"/>
          <w:kern w:val="0"/>
          <w:sz w:val="32"/>
          <w:szCs w:val="32"/>
        </w:rPr>
        <w:t>建项目污染物排放总量为：化学需氧量为1.87吨/年、氨氮为0.30吨/年、二氧化硫为1.68吨/年、氮氧化物为1.68吨/年、VOCs为27.89吨/年。本项目现有排</w:t>
      </w:r>
      <w:r>
        <w:rPr>
          <w:rStyle w:val="11"/>
          <w:rFonts w:hint="eastAsia" w:ascii="Times New Roman" w:hAnsi="Times New Roman" w:eastAsia="仿宋_GB2312"/>
          <w:kern w:val="0"/>
          <w:sz w:val="32"/>
          <w:szCs w:val="32"/>
        </w:rPr>
        <w:t>污权指标能够满足项目建设需求，并通过自身消减的方式实现倍量消减，但应经过市生态环境局大气环境与气候变化科的确认。</w:t>
      </w:r>
    </w:p>
    <w:p w14:paraId="00322ABF">
      <w:pPr>
        <w:pStyle w:val="2"/>
        <w:keepNext w:val="0"/>
        <w:keepLines w:val="0"/>
        <w:pageBreakBefore w:val="0"/>
        <w:widowControl w:val="0"/>
        <w:kinsoku/>
        <w:wordWrap w:val="0"/>
        <w:overflowPunct/>
        <w:topLinePunct/>
        <w:autoSpaceDE/>
        <w:autoSpaceDN/>
        <w:bidi w:val="0"/>
        <w:adjustRightInd/>
        <w:snapToGrid/>
        <w:spacing w:line="600" w:lineRule="exact"/>
        <w:ind w:firstLine="640" w:firstLineChars="200"/>
        <w:textAlignment w:val="auto"/>
        <w:rPr>
          <w:rStyle w:val="11"/>
          <w:rFonts w:ascii="Times New Roman" w:hAnsi="Times New Roman" w:eastAsia="仿宋_GB2312" w:cstheme="minorBidi"/>
          <w:kern w:val="0"/>
          <w:sz w:val="32"/>
          <w:szCs w:val="32"/>
        </w:rPr>
      </w:pPr>
      <w:r>
        <w:rPr>
          <w:rStyle w:val="11"/>
          <w:rFonts w:hint="eastAsia" w:ascii="Times New Roman" w:hAnsi="Times New Roman" w:eastAsia="仿宋_GB2312" w:cstheme="minorBidi"/>
          <w:kern w:val="0"/>
          <w:sz w:val="32"/>
          <w:szCs w:val="32"/>
        </w:rPr>
        <w:t>四、</w:t>
      </w:r>
      <w:r>
        <w:rPr>
          <w:rStyle w:val="11"/>
          <w:rFonts w:ascii="Times New Roman" w:hAnsi="Times New Roman" w:eastAsia="仿宋_GB2312" w:cstheme="minorBidi"/>
          <w:kern w:val="0"/>
          <w:sz w:val="32"/>
          <w:szCs w:val="32"/>
        </w:rPr>
        <w:t>《报告书》经批准后，建设项目若发生重大变动，应重新向我局报批环境影响评价文件</w:t>
      </w:r>
      <w:r>
        <w:rPr>
          <w:rStyle w:val="11"/>
          <w:rFonts w:hint="eastAsia" w:ascii="Times New Roman" w:hAnsi="Times New Roman" w:eastAsia="仿宋_GB2312" w:cstheme="minorBidi"/>
          <w:kern w:val="0"/>
          <w:sz w:val="32"/>
          <w:szCs w:val="32"/>
        </w:rPr>
        <w:t>。</w:t>
      </w:r>
      <w:r>
        <w:rPr>
          <w:rStyle w:val="11"/>
          <w:rFonts w:ascii="Times New Roman" w:hAnsi="Times New Roman" w:eastAsia="仿宋_GB2312" w:cstheme="minorBidi"/>
          <w:kern w:val="0"/>
          <w:sz w:val="32"/>
          <w:szCs w:val="32"/>
        </w:rPr>
        <w:t>或自批准之日起超过五年，方决定建设项目开工建设的，其环境影响评价文件应报我局重新审核。</w:t>
      </w:r>
    </w:p>
    <w:p w14:paraId="43D09A1E">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cstheme="minorBidi"/>
          <w:kern w:val="0"/>
          <w:sz w:val="32"/>
          <w:szCs w:val="32"/>
        </w:rPr>
      </w:pPr>
      <w:r>
        <w:rPr>
          <w:rStyle w:val="11"/>
          <w:rFonts w:hint="eastAsia" w:ascii="Times New Roman" w:hAnsi="Times New Roman" w:eastAsia="仿宋_GB2312" w:cstheme="minorBidi"/>
          <w:kern w:val="0"/>
          <w:sz w:val="32"/>
          <w:szCs w:val="32"/>
        </w:rPr>
        <w:t>五、</w:t>
      </w:r>
      <w:r>
        <w:rPr>
          <w:rStyle w:val="11"/>
          <w:rFonts w:ascii="Times New Roman" w:hAnsi="Times New Roman" w:eastAsia="仿宋_GB2312" w:cstheme="minorBidi"/>
          <w:kern w:val="0"/>
          <w:sz w:val="32"/>
          <w:szCs w:val="32"/>
        </w:rPr>
        <w:t>项目建成后，你单位应在</w:t>
      </w:r>
      <w:r>
        <w:rPr>
          <w:rStyle w:val="11"/>
          <w:rFonts w:hint="eastAsia" w:ascii="Times New Roman" w:hAnsi="Times New Roman" w:eastAsia="仿宋_GB2312" w:cstheme="minorBidi"/>
          <w:kern w:val="0"/>
          <w:sz w:val="32"/>
          <w:szCs w:val="32"/>
        </w:rPr>
        <w:t>实际排污行为发生前</w:t>
      </w:r>
      <w:r>
        <w:rPr>
          <w:rStyle w:val="11"/>
          <w:rFonts w:ascii="Times New Roman" w:hAnsi="Times New Roman" w:eastAsia="仿宋_GB2312" w:cstheme="minorBidi"/>
          <w:kern w:val="0"/>
          <w:sz w:val="32"/>
          <w:szCs w:val="32"/>
        </w:rPr>
        <w:t>向我局</w:t>
      </w:r>
      <w:r>
        <w:rPr>
          <w:rStyle w:val="11"/>
          <w:rFonts w:hint="eastAsia" w:ascii="Times New Roman" w:hAnsi="Times New Roman" w:eastAsia="仿宋_GB2312" w:cstheme="minorBidi"/>
          <w:kern w:val="0"/>
          <w:sz w:val="32"/>
          <w:szCs w:val="32"/>
        </w:rPr>
        <w:t>重新</w:t>
      </w:r>
      <w:r>
        <w:rPr>
          <w:rStyle w:val="11"/>
          <w:rFonts w:ascii="Times New Roman" w:hAnsi="Times New Roman" w:eastAsia="仿宋_GB2312" w:cstheme="minorBidi"/>
          <w:kern w:val="0"/>
          <w:sz w:val="32"/>
          <w:szCs w:val="32"/>
        </w:rPr>
        <w:t>申请取得排污许可证</w:t>
      </w:r>
      <w:r>
        <w:rPr>
          <w:rStyle w:val="11"/>
          <w:rFonts w:hint="eastAsia" w:ascii="Times New Roman" w:hAnsi="Times New Roman" w:eastAsia="仿宋_GB2312" w:cstheme="minorBidi"/>
          <w:kern w:val="0"/>
          <w:sz w:val="32"/>
          <w:szCs w:val="32"/>
        </w:rPr>
        <w:t>。依法</w:t>
      </w:r>
      <w:r>
        <w:rPr>
          <w:rStyle w:val="11"/>
          <w:rFonts w:ascii="Times New Roman" w:hAnsi="Times New Roman" w:eastAsia="仿宋_GB2312" w:cstheme="minorBidi"/>
          <w:kern w:val="0"/>
          <w:sz w:val="32"/>
          <w:szCs w:val="32"/>
        </w:rPr>
        <w:t>组织</w:t>
      </w:r>
      <w:r>
        <w:rPr>
          <w:rStyle w:val="11"/>
          <w:rFonts w:hint="eastAsia" w:ascii="Times New Roman" w:hAnsi="Times New Roman" w:eastAsia="仿宋_GB2312" w:cstheme="minorBidi"/>
          <w:kern w:val="0"/>
          <w:sz w:val="32"/>
          <w:szCs w:val="32"/>
        </w:rPr>
        <w:t>竣工</w:t>
      </w:r>
      <w:r>
        <w:rPr>
          <w:rStyle w:val="11"/>
          <w:rFonts w:ascii="Times New Roman" w:hAnsi="Times New Roman" w:eastAsia="仿宋_GB2312" w:cstheme="minorBidi"/>
          <w:kern w:val="0"/>
          <w:sz w:val="32"/>
          <w:szCs w:val="32"/>
        </w:rPr>
        <w:t>环保设施验收，编制验收报告，并依法向社会公开，接受社会监督。</w:t>
      </w:r>
    </w:p>
    <w:p w14:paraId="37631168">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cstheme="minorBidi"/>
          <w:kern w:val="0"/>
          <w:sz w:val="32"/>
          <w:szCs w:val="32"/>
        </w:rPr>
      </w:pPr>
      <w:r>
        <w:rPr>
          <w:rStyle w:val="11"/>
          <w:rFonts w:hint="eastAsia" w:ascii="Times New Roman" w:hAnsi="Times New Roman" w:eastAsia="仿宋_GB2312" w:cstheme="minorBidi"/>
          <w:kern w:val="0"/>
          <w:sz w:val="32"/>
          <w:szCs w:val="32"/>
        </w:rPr>
        <w:t>六、项目的“三同时”监督检查和管理工作由常德市生态环境局津市分局具体负责。你公司应当在收到本批复后的5个工作日内，将批准后的《报告书》及本批复送至相关单位。</w:t>
      </w:r>
    </w:p>
    <w:p w14:paraId="74E61B3B">
      <w:pPr>
        <w:keepNext w:val="0"/>
        <w:keepLines w:val="0"/>
        <w:pageBreakBefore w:val="0"/>
        <w:widowControl w:val="0"/>
        <w:kinsoku/>
        <w:overflowPunct/>
        <w:autoSpaceDE/>
        <w:autoSpaceDN/>
        <w:bidi w:val="0"/>
        <w:adjustRightInd/>
        <w:snapToGrid/>
        <w:spacing w:line="600" w:lineRule="exact"/>
        <w:ind w:firstLine="640" w:firstLineChars="200"/>
        <w:textAlignment w:val="auto"/>
        <w:rPr>
          <w:rStyle w:val="11"/>
          <w:rFonts w:ascii="Times New Roman" w:hAnsi="Times New Roman" w:eastAsia="仿宋_GB2312"/>
          <w:kern w:val="0"/>
          <w:sz w:val="32"/>
          <w:szCs w:val="32"/>
        </w:rPr>
      </w:pPr>
    </w:p>
    <w:p w14:paraId="129F3DD3">
      <w:pPr>
        <w:pStyle w:val="2"/>
      </w:pPr>
      <w:bookmarkStart w:id="2" w:name="_GoBack"/>
      <w:bookmarkEnd w:id="2"/>
    </w:p>
    <w:p w14:paraId="55D976A9">
      <w:pPr>
        <w:keepNext w:val="0"/>
        <w:keepLines w:val="0"/>
        <w:pageBreakBefore w:val="0"/>
        <w:widowControl w:val="0"/>
        <w:kinsoku/>
        <w:overflowPunct/>
        <w:autoSpaceDE/>
        <w:autoSpaceDN/>
        <w:bidi w:val="0"/>
        <w:adjustRightInd/>
        <w:snapToGrid/>
        <w:spacing w:line="600" w:lineRule="exact"/>
        <w:ind w:firstLine="640" w:firstLineChars="200"/>
        <w:jc w:val="center"/>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 xml:space="preserve">                      常德市生态环境局</w:t>
      </w:r>
    </w:p>
    <w:p w14:paraId="7AF240D2">
      <w:pPr>
        <w:keepNext w:val="0"/>
        <w:keepLines w:val="0"/>
        <w:pageBreakBefore w:val="0"/>
        <w:widowControl w:val="0"/>
        <w:kinsoku/>
        <w:overflowPunct/>
        <w:autoSpaceDE/>
        <w:autoSpaceDN/>
        <w:bidi w:val="0"/>
        <w:adjustRightInd/>
        <w:snapToGrid/>
        <w:spacing w:line="600" w:lineRule="exact"/>
        <w:ind w:firstLine="640" w:firstLineChars="200"/>
        <w:jc w:val="center"/>
        <w:textAlignment w:val="auto"/>
        <w:rPr>
          <w:rStyle w:val="11"/>
          <w:rFonts w:ascii="Times New Roman" w:hAnsi="Times New Roman" w:eastAsia="仿宋_GB2312"/>
          <w:kern w:val="0"/>
          <w:sz w:val="32"/>
          <w:szCs w:val="32"/>
        </w:rPr>
      </w:pPr>
      <w:r>
        <w:rPr>
          <w:rStyle w:val="11"/>
          <w:rFonts w:hint="eastAsia" w:ascii="Times New Roman" w:hAnsi="Times New Roman" w:eastAsia="仿宋_GB2312"/>
          <w:kern w:val="0"/>
          <w:sz w:val="32"/>
          <w:szCs w:val="32"/>
        </w:rPr>
        <w:t xml:space="preserve">                     2024年</w:t>
      </w:r>
      <w:r>
        <w:rPr>
          <w:rStyle w:val="11"/>
          <w:rFonts w:hint="eastAsia" w:ascii="Times New Roman" w:hAnsi="Times New Roman" w:eastAsia="仿宋_GB2312"/>
          <w:kern w:val="0"/>
          <w:sz w:val="32"/>
          <w:szCs w:val="32"/>
          <w:lang w:val="en-US"/>
        </w:rPr>
        <w:t>10</w:t>
      </w:r>
      <w:r>
        <w:rPr>
          <w:rStyle w:val="11"/>
          <w:rFonts w:hint="eastAsia" w:ascii="Times New Roman" w:hAnsi="Times New Roman" w:eastAsia="仿宋_GB2312"/>
          <w:kern w:val="0"/>
          <w:sz w:val="32"/>
          <w:szCs w:val="32"/>
        </w:rPr>
        <w:t>月</w:t>
      </w:r>
      <w:r>
        <w:rPr>
          <w:rStyle w:val="11"/>
          <w:rFonts w:hint="eastAsia" w:ascii="Times New Roman" w:hAnsi="Times New Roman" w:eastAsia="仿宋_GB2312"/>
          <w:kern w:val="0"/>
          <w:sz w:val="32"/>
          <w:szCs w:val="32"/>
          <w:lang w:val="en-US"/>
        </w:rPr>
        <w:t>16</w:t>
      </w:r>
      <w:r>
        <w:rPr>
          <w:rStyle w:val="11"/>
          <w:rFonts w:hint="eastAsia" w:ascii="Times New Roman" w:hAnsi="Times New Roman" w:eastAsia="仿宋_GB2312"/>
          <w:kern w:val="0"/>
          <w:sz w:val="32"/>
          <w:szCs w:val="32"/>
        </w:rPr>
        <w:t>日</w:t>
      </w:r>
    </w:p>
    <w:p w14:paraId="3E6CA316">
      <w:pPr>
        <w:pStyle w:val="2"/>
        <w:keepNext w:val="0"/>
        <w:keepLines w:val="0"/>
        <w:pageBreakBefore w:val="0"/>
        <w:widowControl w:val="0"/>
        <w:kinsoku/>
        <w:overflowPunct/>
        <w:autoSpaceDE/>
        <w:autoSpaceDN/>
        <w:bidi w:val="0"/>
        <w:adjustRightInd/>
        <w:snapToGrid/>
        <w:spacing w:line="560" w:lineRule="exact"/>
        <w:textAlignment w:val="auto"/>
        <w:rPr>
          <w:rFonts w:hint="eastAsia"/>
          <w:sz w:val="32"/>
          <w:szCs w:val="32"/>
          <w:lang w:eastAsia="zh-CN"/>
        </w:rPr>
      </w:pPr>
    </w:p>
    <w:p w14:paraId="105E8E67">
      <w:pPr>
        <w:pStyle w:val="4"/>
        <w:keepNext w:val="0"/>
        <w:keepLines w:val="0"/>
        <w:pageBreakBefore w:val="0"/>
        <w:widowControl w:val="0"/>
        <w:kinsoku/>
        <w:overflowPunct/>
        <w:autoSpaceDE/>
        <w:autoSpaceDN/>
        <w:bidi w:val="0"/>
        <w:spacing w:line="560" w:lineRule="exact"/>
        <w:textAlignment w:val="auto"/>
        <w:rPr>
          <w:rFonts w:hint="eastAsia"/>
          <w:sz w:val="32"/>
          <w:szCs w:val="32"/>
          <w:lang w:eastAsia="zh-CN"/>
        </w:rPr>
      </w:pPr>
    </w:p>
    <w:p w14:paraId="6134710A">
      <w:pPr>
        <w:keepNext w:val="0"/>
        <w:keepLines w:val="0"/>
        <w:pageBreakBefore w:val="0"/>
        <w:widowControl w:val="0"/>
        <w:kinsoku/>
        <w:overflowPunct/>
        <w:autoSpaceDE/>
        <w:autoSpaceDN/>
        <w:bidi w:val="0"/>
        <w:adjustRightInd/>
        <w:snapToGrid/>
        <w:spacing w:line="560" w:lineRule="exact"/>
        <w:ind w:firstLine="640" w:firstLineChars="200"/>
        <w:textAlignment w:val="auto"/>
        <w:rPr>
          <w:rStyle w:val="11"/>
          <w:rFonts w:hint="eastAsia" w:ascii="Times New Roman" w:hAnsi="Times New Roman" w:eastAsia="仿宋_GB2312"/>
          <w:kern w:val="0"/>
          <w:sz w:val="32"/>
          <w:szCs w:val="32"/>
        </w:rPr>
      </w:pPr>
    </w:p>
    <w:p w14:paraId="1FBFC2B4">
      <w:pPr>
        <w:keepNext w:val="0"/>
        <w:keepLines w:val="0"/>
        <w:pageBreakBefore w:val="0"/>
        <w:widowControl w:val="0"/>
        <w:kinsoku/>
        <w:overflowPunct/>
        <w:autoSpaceDE/>
        <w:autoSpaceDN/>
        <w:bidi w:val="0"/>
        <w:adjustRightInd/>
        <w:snapToGrid/>
        <w:spacing w:line="560" w:lineRule="exact"/>
        <w:ind w:firstLine="640" w:firstLineChars="200"/>
        <w:textAlignment w:val="auto"/>
        <w:rPr>
          <w:rStyle w:val="11"/>
          <w:rFonts w:hint="eastAsia" w:ascii="Times New Roman" w:hAnsi="Times New Roman" w:eastAsia="仿宋_GB2312"/>
          <w:kern w:val="0"/>
          <w:sz w:val="32"/>
          <w:szCs w:val="32"/>
        </w:rPr>
      </w:pPr>
    </w:p>
    <w:p w14:paraId="20102E7E">
      <w:pPr>
        <w:keepNext w:val="0"/>
        <w:keepLines w:val="0"/>
        <w:pageBreakBefore w:val="0"/>
        <w:widowControl w:val="0"/>
        <w:kinsoku/>
        <w:overflowPunct/>
        <w:autoSpaceDE/>
        <w:autoSpaceDN/>
        <w:bidi w:val="0"/>
        <w:adjustRightInd/>
        <w:snapToGrid/>
        <w:spacing w:line="560" w:lineRule="exact"/>
        <w:ind w:firstLine="640" w:firstLineChars="200"/>
        <w:textAlignment w:val="auto"/>
        <w:rPr>
          <w:rStyle w:val="11"/>
          <w:rFonts w:hint="eastAsia" w:ascii="Times New Roman" w:hAnsi="Times New Roman" w:eastAsia="仿宋_GB2312"/>
          <w:kern w:val="0"/>
          <w:sz w:val="32"/>
          <w:szCs w:val="32"/>
        </w:rPr>
      </w:pPr>
    </w:p>
    <w:p w14:paraId="7E9736A3">
      <w:pPr>
        <w:keepNext w:val="0"/>
        <w:keepLines w:val="0"/>
        <w:pageBreakBefore w:val="0"/>
        <w:widowControl w:val="0"/>
        <w:kinsoku/>
        <w:overflowPunct/>
        <w:autoSpaceDE/>
        <w:autoSpaceDN/>
        <w:bidi w:val="0"/>
        <w:adjustRightInd/>
        <w:snapToGrid/>
        <w:spacing w:line="560" w:lineRule="exact"/>
        <w:ind w:firstLine="640" w:firstLineChars="200"/>
        <w:textAlignment w:val="auto"/>
        <w:rPr>
          <w:rStyle w:val="11"/>
          <w:rFonts w:hint="eastAsia" w:ascii="Times New Roman" w:hAnsi="Times New Roman" w:eastAsia="仿宋_GB2312"/>
          <w:kern w:val="0"/>
          <w:sz w:val="32"/>
          <w:szCs w:val="32"/>
        </w:rPr>
      </w:pPr>
    </w:p>
    <w:p w14:paraId="1B254776">
      <w:pPr>
        <w:keepNext w:val="0"/>
        <w:keepLines w:val="0"/>
        <w:pageBreakBefore w:val="0"/>
        <w:widowControl w:val="0"/>
        <w:kinsoku/>
        <w:overflowPunct/>
        <w:autoSpaceDE/>
        <w:autoSpaceDN/>
        <w:bidi w:val="0"/>
        <w:adjustRightInd/>
        <w:snapToGrid/>
        <w:spacing w:line="560" w:lineRule="exact"/>
        <w:ind w:firstLine="640" w:firstLineChars="200"/>
        <w:textAlignment w:val="auto"/>
        <w:rPr>
          <w:rStyle w:val="11"/>
          <w:rFonts w:hint="eastAsia" w:ascii="Times New Roman" w:hAnsi="Times New Roman" w:eastAsia="仿宋_GB2312"/>
          <w:kern w:val="0"/>
          <w:sz w:val="32"/>
          <w:szCs w:val="32"/>
        </w:rPr>
      </w:pPr>
    </w:p>
    <w:p w14:paraId="3F75229A">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Style w:val="11"/>
          <w:rFonts w:hint="eastAsia" w:ascii="Times New Roman" w:hAnsi="Times New Roman" w:eastAsia="仿宋_GB2312"/>
          <w:kern w:val="0"/>
          <w:sz w:val="32"/>
          <w:szCs w:val="32"/>
        </w:rPr>
        <w:t>抄送：常德市生态环境事务中心、常德市生态环境局津市分局、常德市双赢环境咨询服务有限公司</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E31FF"/>
    <w:multiLevelType w:val="singleLevel"/>
    <w:tmpl w:val="B89E31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2VkOTk4MzJiYWE4NTU3M2EzNDM0NDkxOWUwYjEifQ=="/>
  </w:docVars>
  <w:rsids>
    <w:rsidRoot w:val="00A4794B"/>
    <w:rsid w:val="001C4798"/>
    <w:rsid w:val="00431186"/>
    <w:rsid w:val="004B111F"/>
    <w:rsid w:val="007D3BA0"/>
    <w:rsid w:val="008B73FC"/>
    <w:rsid w:val="008C464B"/>
    <w:rsid w:val="009866ED"/>
    <w:rsid w:val="00A4794B"/>
    <w:rsid w:val="00DF07A9"/>
    <w:rsid w:val="06CE1AD1"/>
    <w:rsid w:val="0A8D6124"/>
    <w:rsid w:val="0BF308D0"/>
    <w:rsid w:val="41D2637B"/>
    <w:rsid w:val="497774DC"/>
    <w:rsid w:val="61220C67"/>
    <w:rsid w:val="631A5242"/>
    <w:rsid w:val="6D35119B"/>
    <w:rsid w:val="70E65806"/>
    <w:rsid w:val="7256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eastAsia="en-US"/>
    </w:rPr>
  </w:style>
  <w:style w:type="paragraph" w:customStyle="1" w:styleId="3">
    <w:name w:val="xl27"/>
    <w:basedOn w:val="1"/>
    <w:next w:val="4"/>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Math" w:cs="Courier New"/>
      <w:kern w:val="0"/>
      <w:sz w:val="22"/>
      <w:szCs w:val="22"/>
    </w:rPr>
  </w:style>
  <w:style w:type="paragraph" w:styleId="4">
    <w:name w:val="Body Text Indent 2"/>
    <w:basedOn w:val="1"/>
    <w:next w:val="1"/>
    <w:qFormat/>
    <w:uiPriority w:val="0"/>
    <w:pPr>
      <w:adjustRightInd w:val="0"/>
      <w:snapToGrid w:val="0"/>
      <w:spacing w:line="360" w:lineRule="auto"/>
      <w:ind w:firstLine="603" w:firstLineChars="200"/>
    </w:pPr>
    <w:rPr>
      <w:bCs/>
      <w:sz w:val="2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NormalCharacter"/>
    <w:semiHidden/>
    <w:qFormat/>
    <w:uiPriority w:val="0"/>
    <w:rPr>
      <w:rFonts w:ascii="等线" w:hAnsi="等线" w:eastAsia="仿宋"/>
      <w:kern w:val="2"/>
      <w:sz w:val="30"/>
      <w:szCs w:val="22"/>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2748</Words>
  <Characters>2920</Characters>
  <Lines>19</Lines>
  <Paragraphs>5</Paragraphs>
  <TotalTime>102</TotalTime>
  <ScaleCrop>false</ScaleCrop>
  <LinksUpToDate>false</LinksUpToDate>
  <CharactersWithSpaces>2967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2024-09-11T00:15:00Z</dcterms:created>
  <dc:creator>世鹏 许</dc:creator>
  <cp:lastModifiedBy>阿余</cp:lastModifiedBy>
  <dcterms:modified xsi:type="dcterms:W3CDTF">2024-10-17T03:11:50Z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E5DEF615EF9C420DBE392A600D8BD770_12</vt:lpwstr>
  </property>
</Properties>
</file>